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0495D4" w14:textId="262D915E" w:rsidR="00905D2A" w:rsidRDefault="00720703" w:rsidP="00636AAB">
      <w:pPr>
        <w:jc w:val="center"/>
      </w:pPr>
      <w:r w:rsidRPr="00720703">
        <w:rPr>
          <w:rFonts w:hint="eastAsia"/>
        </w:rPr>
        <w:t>競争的研究費等に係る事務処理手続に</w:t>
      </w:r>
      <w:r>
        <w:rPr>
          <w:rFonts w:hint="eastAsia"/>
        </w:rPr>
        <w:t>ついて</w:t>
      </w:r>
    </w:p>
    <w:p w14:paraId="68B0B103" w14:textId="06D6657C" w:rsidR="00720703" w:rsidRDefault="00720703"/>
    <w:p w14:paraId="6A0003C9" w14:textId="77777777" w:rsidR="00636AAB" w:rsidRDefault="00636AAB"/>
    <w:p w14:paraId="66A31B62" w14:textId="77777777" w:rsidR="00720703" w:rsidRDefault="00720703" w:rsidP="00720703">
      <w:pPr>
        <w:ind w:firstLineChars="100" w:firstLine="240"/>
      </w:pPr>
      <w:r>
        <w:rPr>
          <w:rFonts w:hint="eastAsia"/>
        </w:rPr>
        <w:t>競争的研究費等に係る事務処理手続については、以下のとおりとする。</w:t>
      </w:r>
    </w:p>
    <w:p w14:paraId="3613D7EE" w14:textId="77777777" w:rsidR="00720703" w:rsidRPr="00636AAB" w:rsidRDefault="00720703" w:rsidP="00636AAB"/>
    <w:p w14:paraId="48B8D728" w14:textId="76230008" w:rsidR="00720703" w:rsidRDefault="00720703"/>
    <w:p w14:paraId="4293D3E7" w14:textId="34103A4B" w:rsidR="00720703" w:rsidRDefault="00636AAB" w:rsidP="00720703">
      <w:r>
        <w:rPr>
          <w:rFonts w:hint="eastAsia"/>
        </w:rPr>
        <w:t xml:space="preserve">１　</w:t>
      </w:r>
      <w:r w:rsidR="00720703">
        <w:rPr>
          <w:rFonts w:hint="eastAsia"/>
        </w:rPr>
        <w:t>ルールの明確化・統一化</w:t>
      </w:r>
    </w:p>
    <w:p w14:paraId="43E11E8D" w14:textId="03A0AA32" w:rsidR="00720703" w:rsidRDefault="00720703" w:rsidP="00636AAB">
      <w:pPr>
        <w:ind w:leftChars="100" w:left="240" w:firstLineChars="100" w:firstLine="240"/>
      </w:pPr>
      <w:r>
        <w:rPr>
          <w:rFonts w:hint="eastAsia"/>
        </w:rPr>
        <w:t>競争的研究費等に係る事務処理手続に関するルールについて、以下の観点から見直しを行い、明確かつ統一的な運用を図</w:t>
      </w:r>
      <w:r w:rsidR="00636AAB">
        <w:rPr>
          <w:rFonts w:hint="eastAsia"/>
        </w:rPr>
        <w:t>り、</w:t>
      </w:r>
      <w:r>
        <w:t>競争的研究費等の運営・管理に関わる全ての</w:t>
      </w:r>
      <w:r>
        <w:rPr>
          <w:rFonts w:hint="eastAsia"/>
        </w:rPr>
        <w:t>者が、事務処理手続きに従うものとする。</w:t>
      </w:r>
      <w:r w:rsidR="00636AAB">
        <w:rPr>
          <w:rFonts w:hint="eastAsia"/>
        </w:rPr>
        <w:t>また、</w:t>
      </w:r>
      <w:r>
        <w:rPr>
          <w:rFonts w:hint="eastAsia"/>
        </w:rPr>
        <w:t>事務処理手続きにより難い場合は、最高管理責任者の決裁により、特別な取扱いができることとする。</w:t>
      </w:r>
    </w:p>
    <w:p w14:paraId="45ADE1BB" w14:textId="77777777" w:rsidR="00636AAB" w:rsidRDefault="00636AAB" w:rsidP="00636AAB">
      <w:pPr>
        <w:ind w:leftChars="100" w:left="240" w:firstLineChars="100" w:firstLine="240"/>
      </w:pPr>
    </w:p>
    <w:p w14:paraId="33743E0E" w14:textId="77777777" w:rsidR="00636AAB" w:rsidRDefault="00636AAB" w:rsidP="00636AAB">
      <w:pPr>
        <w:ind w:left="240" w:hangingChars="100" w:hanging="240"/>
      </w:pPr>
      <w:r>
        <w:rPr>
          <w:rFonts w:hint="eastAsia"/>
        </w:rPr>
        <w:t>（１）</w:t>
      </w:r>
      <w:r w:rsidR="00720703">
        <w:t>ルールの策定に当たっては、慣例にとらわれることなく、実態を</w:t>
      </w:r>
      <w:r w:rsidR="00720703">
        <w:rPr>
          <w:rFonts w:hint="eastAsia"/>
        </w:rPr>
        <w:t>踏まえ業務が最も効率的かつ公正に遂行できるものとする。</w:t>
      </w:r>
    </w:p>
    <w:p w14:paraId="7FE810C4" w14:textId="77777777" w:rsidR="00636AAB" w:rsidRDefault="00636AAB" w:rsidP="00636AAB">
      <w:pPr>
        <w:ind w:left="240" w:hangingChars="100" w:hanging="240"/>
      </w:pPr>
    </w:p>
    <w:p w14:paraId="7CB8602F" w14:textId="3AB9AB29" w:rsidR="00720703" w:rsidRDefault="00636AAB" w:rsidP="00636AAB">
      <w:pPr>
        <w:ind w:left="240" w:hangingChars="100" w:hanging="240"/>
      </w:pPr>
      <w:r>
        <w:rPr>
          <w:rFonts w:hint="eastAsia"/>
        </w:rPr>
        <w:t>（２）</w:t>
      </w:r>
      <w:r w:rsidR="00720703">
        <w:rPr>
          <w:rFonts w:hint="eastAsia"/>
        </w:rPr>
        <w:t>ルールが形骸化しないよう、モニタリング等の結果も踏まえ、</w:t>
      </w:r>
      <w:r>
        <w:rPr>
          <w:rFonts w:hint="eastAsia"/>
        </w:rPr>
        <w:t>必要</w:t>
      </w:r>
      <w:r w:rsidR="00720703">
        <w:rPr>
          <w:rFonts w:hint="eastAsia"/>
        </w:rPr>
        <w:t>に応じて見直しを行うこととする。</w:t>
      </w:r>
    </w:p>
    <w:p w14:paraId="76B62278" w14:textId="77777777" w:rsidR="00636AAB" w:rsidRDefault="00636AAB" w:rsidP="00720703"/>
    <w:p w14:paraId="6E6E6448" w14:textId="01F6090B" w:rsidR="00720703" w:rsidRDefault="00636AAB" w:rsidP="00636AAB">
      <w:pPr>
        <w:ind w:left="480" w:hangingChars="200" w:hanging="480"/>
      </w:pPr>
      <w:r>
        <w:rPr>
          <w:rFonts w:hint="eastAsia"/>
        </w:rPr>
        <w:t>（３）</w:t>
      </w:r>
      <w:r w:rsidR="00720703">
        <w:t>ルールの例外的な処理は、ルールと実態の乖離を招く恐れが強いことか</w:t>
      </w:r>
      <w:r w:rsidR="00720703">
        <w:rPr>
          <w:rFonts w:hint="eastAsia"/>
        </w:rPr>
        <w:t>ら、極力これを認めない。やむを得ず認める必要がある場合については、例外処理の指針を定め、手続を明確化して行うものとする。</w:t>
      </w:r>
    </w:p>
    <w:p w14:paraId="2C35C495" w14:textId="77777777" w:rsidR="00636AAB" w:rsidRDefault="00636AAB" w:rsidP="00636AAB">
      <w:pPr>
        <w:ind w:left="480" w:hangingChars="200" w:hanging="480"/>
      </w:pPr>
    </w:p>
    <w:p w14:paraId="37C51F54" w14:textId="0C3D7171" w:rsidR="00720703" w:rsidRDefault="00636AAB" w:rsidP="00636AAB">
      <w:pPr>
        <w:ind w:left="480" w:hangingChars="200" w:hanging="480"/>
      </w:pPr>
      <w:r>
        <w:rPr>
          <w:rFonts w:hint="eastAsia"/>
        </w:rPr>
        <w:t>（４）</w:t>
      </w:r>
      <w:r w:rsidR="00720703">
        <w:t>ルールの周知に当たっては、研究者、事務職員など、それぞれの職務に</w:t>
      </w:r>
      <w:r w:rsidR="00720703">
        <w:rPr>
          <w:rFonts w:hint="eastAsia"/>
        </w:rPr>
        <w:t>応じた視点から、分かりやすい形で周知</w:t>
      </w:r>
      <w:r>
        <w:rPr>
          <w:rFonts w:hint="eastAsia"/>
        </w:rPr>
        <w:t>する</w:t>
      </w:r>
      <w:r w:rsidR="00720703">
        <w:rPr>
          <w:rFonts w:hint="eastAsia"/>
        </w:rPr>
        <w:t>。</w:t>
      </w:r>
    </w:p>
    <w:p w14:paraId="7DD8254C" w14:textId="77777777" w:rsidR="009A4983" w:rsidRDefault="009A4983" w:rsidP="009A4983"/>
    <w:p w14:paraId="0D0DF4C4" w14:textId="52954425" w:rsidR="009A4983" w:rsidRDefault="00636AAB" w:rsidP="00636AAB">
      <w:pPr>
        <w:jc w:val="left"/>
      </w:pPr>
      <w:r>
        <w:rPr>
          <w:rFonts w:hint="eastAsia"/>
        </w:rPr>
        <w:t>２</w:t>
      </w:r>
      <w:r w:rsidR="001A3906">
        <w:rPr>
          <w:rFonts w:hint="eastAsia"/>
        </w:rPr>
        <w:t xml:space="preserve">　</w:t>
      </w:r>
      <w:r w:rsidR="001A3906" w:rsidRPr="001A3906">
        <w:rPr>
          <w:rFonts w:hint="eastAsia"/>
        </w:rPr>
        <w:t>研究費の適正な運営・管理活動</w:t>
      </w:r>
    </w:p>
    <w:p w14:paraId="5239EBBE" w14:textId="113982DF" w:rsidR="00636AAB" w:rsidRDefault="00636AAB" w:rsidP="000968C3">
      <w:pPr>
        <w:ind w:left="240" w:hangingChars="100" w:hanging="240"/>
        <w:jc w:val="left"/>
      </w:pPr>
      <w:r>
        <w:rPr>
          <w:rFonts w:hint="eastAsia"/>
        </w:rPr>
        <w:t xml:space="preserve">　　</w:t>
      </w:r>
      <w:r>
        <w:t>不正防止計画を踏まえ、</w:t>
      </w:r>
      <w:r>
        <w:rPr>
          <w:rFonts w:hint="eastAsia"/>
        </w:rPr>
        <w:t>第三者からの実効性のあるチェックが効くシステムを作って管理する。また、研究費の執行に関する書類やデータ等は定め</w:t>
      </w:r>
      <w:r w:rsidR="000968C3">
        <w:rPr>
          <w:rFonts w:hint="eastAsia"/>
        </w:rPr>
        <w:t>られ</w:t>
      </w:r>
      <w:r>
        <w:rPr>
          <w:rFonts w:hint="eastAsia"/>
        </w:rPr>
        <w:t>た期間保存し、後日の検証を受けられるようにする。</w:t>
      </w:r>
    </w:p>
    <w:p w14:paraId="432FB321" w14:textId="77777777" w:rsidR="00636AAB" w:rsidRDefault="00636AAB" w:rsidP="00636AAB">
      <w:pPr>
        <w:jc w:val="left"/>
      </w:pPr>
    </w:p>
    <w:p w14:paraId="0F7200CA" w14:textId="3C4A99F8" w:rsidR="009A4983" w:rsidRDefault="009A4983" w:rsidP="009A4983">
      <w:r>
        <w:rPr>
          <w:rFonts w:hint="eastAsia"/>
        </w:rPr>
        <w:t>（１）</w:t>
      </w:r>
      <w:r w:rsidR="001A3906">
        <w:rPr>
          <w:rFonts w:hint="eastAsia"/>
        </w:rPr>
        <w:t>適正な予算の執行</w:t>
      </w:r>
    </w:p>
    <w:p w14:paraId="73F002A5" w14:textId="77777777" w:rsidR="001A3906" w:rsidRDefault="009A4983" w:rsidP="00A52351">
      <w:pPr>
        <w:ind w:leftChars="200" w:left="720" w:hangingChars="100" w:hanging="240"/>
      </w:pPr>
      <w:r>
        <w:rPr>
          <w:rFonts w:hint="eastAsia"/>
        </w:rPr>
        <w:t>①　会計担当者は、研究担当部署の</w:t>
      </w:r>
      <w:r>
        <w:t>予算の執行状況を検証</w:t>
      </w:r>
      <w:r>
        <w:rPr>
          <w:rFonts w:hint="eastAsia"/>
        </w:rPr>
        <w:t>し、確認する。</w:t>
      </w:r>
    </w:p>
    <w:p w14:paraId="5267950B" w14:textId="220F646E" w:rsidR="009A4983" w:rsidRDefault="001A3906" w:rsidP="00A52351">
      <w:pPr>
        <w:ind w:leftChars="200" w:left="720" w:hangingChars="100" w:hanging="240"/>
      </w:pPr>
      <w:r>
        <w:rPr>
          <w:rFonts w:hint="eastAsia"/>
        </w:rPr>
        <w:t xml:space="preserve">②　</w:t>
      </w:r>
      <w:r w:rsidR="009A4983">
        <w:rPr>
          <w:rFonts w:hint="eastAsia"/>
        </w:rPr>
        <w:t>また、予算執行が当初計画に比較して著しく遅れている等の場合は、研究担当部署に対し、</w:t>
      </w:r>
      <w:r w:rsidR="009A4983">
        <w:t>執行の遅れの理由を確認するとともに</w:t>
      </w:r>
      <w:r w:rsidR="009A4983">
        <w:rPr>
          <w:rFonts w:hint="eastAsia"/>
        </w:rPr>
        <w:t>、</w:t>
      </w:r>
      <w:r w:rsidR="009A4983">
        <w:t>必要な</w:t>
      </w:r>
      <w:r w:rsidR="009A4983">
        <w:rPr>
          <w:rFonts w:hint="eastAsia"/>
        </w:rPr>
        <w:t>とき</w:t>
      </w:r>
      <w:r w:rsidR="009A4983">
        <w:t>は改善を求める。</w:t>
      </w:r>
    </w:p>
    <w:p w14:paraId="4F35C566" w14:textId="77777777" w:rsidR="000968C3" w:rsidRDefault="000968C3" w:rsidP="001A3906"/>
    <w:p w14:paraId="7A96CC02" w14:textId="665E6AD8" w:rsidR="001A3906" w:rsidRDefault="001A3906" w:rsidP="001A3906">
      <w:r>
        <w:rPr>
          <w:rFonts w:hint="eastAsia"/>
        </w:rPr>
        <w:t>（２）業者との癒着の発生の防止</w:t>
      </w:r>
    </w:p>
    <w:p w14:paraId="4565B928" w14:textId="16ADD9BE" w:rsidR="009A4983" w:rsidRDefault="00420FBA" w:rsidP="001A3906">
      <w:pPr>
        <w:ind w:leftChars="100" w:left="720" w:hangingChars="200" w:hanging="480"/>
      </w:pPr>
      <w:r>
        <w:rPr>
          <w:rFonts w:hint="eastAsia"/>
        </w:rPr>
        <w:t xml:space="preserve">　</w:t>
      </w:r>
      <w:r w:rsidR="001A3906">
        <w:rPr>
          <w:rFonts w:hint="eastAsia"/>
        </w:rPr>
        <w:t>①</w:t>
      </w:r>
      <w:r>
        <w:rPr>
          <w:rFonts w:hint="eastAsia"/>
        </w:rPr>
        <w:t xml:space="preserve">　研究担当部署は、</w:t>
      </w:r>
      <w:r w:rsidR="009A4983">
        <w:t>発注段階で支出財源の特定を行い、</w:t>
      </w:r>
      <w:r>
        <w:rPr>
          <w:rFonts w:hint="eastAsia"/>
        </w:rPr>
        <w:t>会計担当者は、</w:t>
      </w:r>
      <w:r w:rsidR="009A4983">
        <w:t>予算執行の状況を遅滞なく把握</w:t>
      </w:r>
      <w:r w:rsidR="009A4983">
        <w:rPr>
          <w:rFonts w:hint="eastAsia"/>
        </w:rPr>
        <w:t>する</w:t>
      </w:r>
      <w:r w:rsidR="009A4983">
        <w:t xml:space="preserve"> 。</w:t>
      </w:r>
    </w:p>
    <w:p w14:paraId="5F073192" w14:textId="606D9BBC" w:rsidR="009A4983" w:rsidRPr="00D673AA" w:rsidRDefault="00420FBA" w:rsidP="00A52351">
      <w:pPr>
        <w:ind w:left="720" w:hangingChars="300" w:hanging="720"/>
      </w:pPr>
      <w:r>
        <w:rPr>
          <w:rFonts w:hint="eastAsia"/>
        </w:rPr>
        <w:t xml:space="preserve">　　</w:t>
      </w:r>
      <w:r w:rsidR="001A3906">
        <w:rPr>
          <w:rFonts w:hint="eastAsia"/>
        </w:rPr>
        <w:t>②</w:t>
      </w:r>
      <w:r>
        <w:rPr>
          <w:rFonts w:hint="eastAsia"/>
        </w:rPr>
        <w:t xml:space="preserve">　</w:t>
      </w:r>
      <w:r w:rsidR="009A4983">
        <w:rPr>
          <w:rFonts w:hint="eastAsia"/>
        </w:rPr>
        <w:t>不正な取引に関与した業者</w:t>
      </w:r>
      <w:r w:rsidR="00A52351">
        <w:rPr>
          <w:rFonts w:hint="eastAsia"/>
        </w:rPr>
        <w:t>との</w:t>
      </w:r>
      <w:r w:rsidR="009A4983">
        <w:rPr>
          <w:rFonts w:hint="eastAsia"/>
        </w:rPr>
        <w:t>取引</w:t>
      </w:r>
      <w:r w:rsidR="00A52351">
        <w:rPr>
          <w:rFonts w:hint="eastAsia"/>
        </w:rPr>
        <w:t>は</w:t>
      </w:r>
      <w:r w:rsidR="009A4983">
        <w:rPr>
          <w:rFonts w:hint="eastAsia"/>
        </w:rPr>
        <w:t>停止</w:t>
      </w:r>
      <w:r w:rsidR="00A52351">
        <w:rPr>
          <w:rFonts w:hint="eastAsia"/>
        </w:rPr>
        <w:t>する。また、</w:t>
      </w:r>
      <w:r w:rsidR="00F82353" w:rsidRPr="00D673AA">
        <w:rPr>
          <w:rFonts w:hint="eastAsia"/>
        </w:rPr>
        <w:t>競争的研究費等（もしくは本委託課題）に係る</w:t>
      </w:r>
      <w:r w:rsidR="00A52351" w:rsidRPr="00D673AA">
        <w:rPr>
          <w:rFonts w:hint="eastAsia"/>
        </w:rPr>
        <w:t>前年度の</w:t>
      </w:r>
      <w:r w:rsidR="009A4983" w:rsidRPr="00D673AA">
        <w:rPr>
          <w:rFonts w:hint="eastAsia"/>
        </w:rPr>
        <w:t>取引実績</w:t>
      </w:r>
      <w:r w:rsidR="00A52351" w:rsidRPr="00D673AA">
        <w:rPr>
          <w:rFonts w:hint="eastAsia"/>
        </w:rPr>
        <w:t>が</w:t>
      </w:r>
      <w:r w:rsidR="00AF13E6" w:rsidRPr="00D673AA">
        <w:rPr>
          <w:rFonts w:hint="eastAsia"/>
        </w:rPr>
        <w:t>〇</w:t>
      </w:r>
      <w:r w:rsidR="00A52351" w:rsidRPr="00D673AA">
        <w:rPr>
          <w:rFonts w:hint="eastAsia"/>
        </w:rPr>
        <w:t>回以上または</w:t>
      </w:r>
      <w:r w:rsidR="00AF13E6" w:rsidRPr="00D673AA">
        <w:rPr>
          <w:rFonts w:hint="eastAsia"/>
        </w:rPr>
        <w:t>〇〇</w:t>
      </w:r>
      <w:r w:rsidR="00A52351" w:rsidRPr="00D673AA">
        <w:rPr>
          <w:rFonts w:hint="eastAsia"/>
        </w:rPr>
        <w:t>万円以上の業者に対して、不正に関与しないこと等の</w:t>
      </w:r>
      <w:r w:rsidR="009A4983" w:rsidRPr="00D673AA">
        <w:t>誓約書等の</w:t>
      </w:r>
      <w:r w:rsidR="009A4983" w:rsidRPr="00D673AA">
        <w:rPr>
          <w:rFonts w:hint="eastAsia"/>
        </w:rPr>
        <w:t>提出を求める。</w:t>
      </w:r>
    </w:p>
    <w:p w14:paraId="1DD59C73" w14:textId="6B66F5DA" w:rsidR="00420FBA" w:rsidRPr="00D673AA" w:rsidRDefault="001A3906" w:rsidP="00420FBA">
      <w:pPr>
        <w:ind w:firstLineChars="200" w:firstLine="480"/>
      </w:pPr>
      <w:r w:rsidRPr="00D673AA">
        <w:rPr>
          <w:rFonts w:hint="eastAsia"/>
        </w:rPr>
        <w:t>③</w:t>
      </w:r>
      <w:r w:rsidR="00420FBA" w:rsidRPr="00D673AA">
        <w:rPr>
          <w:rFonts w:hint="eastAsia"/>
        </w:rPr>
        <w:t xml:space="preserve">　</w:t>
      </w:r>
      <w:r w:rsidR="009A4983" w:rsidRPr="00D673AA">
        <w:t>発注・検収業務については、原則として、</w:t>
      </w:r>
      <w:r w:rsidR="00420FBA" w:rsidRPr="00D673AA">
        <w:rPr>
          <w:rFonts w:hint="eastAsia"/>
        </w:rPr>
        <w:t>会計担当者が</w:t>
      </w:r>
      <w:r w:rsidR="009A4983" w:rsidRPr="00D673AA">
        <w:t>実施する</w:t>
      </w:r>
      <w:r w:rsidR="00420FBA" w:rsidRPr="00D673AA">
        <w:rPr>
          <w:rFonts w:hint="eastAsia"/>
        </w:rPr>
        <w:t>。</w:t>
      </w:r>
    </w:p>
    <w:p w14:paraId="31E59B01" w14:textId="4427E8AA" w:rsidR="00F11509" w:rsidRPr="00D673AA" w:rsidRDefault="00F11509" w:rsidP="00F11509">
      <w:pPr>
        <w:ind w:leftChars="200" w:left="720" w:hangingChars="100" w:hanging="240"/>
      </w:pPr>
      <w:r w:rsidRPr="00D673AA">
        <w:rPr>
          <w:rFonts w:hint="eastAsia"/>
        </w:rPr>
        <w:t xml:space="preserve">　なお、やむを得ず研究者による発注を</w:t>
      </w:r>
      <w:r w:rsidR="00F82353" w:rsidRPr="00D673AA">
        <w:rPr>
          <w:rFonts w:hint="eastAsia"/>
        </w:rPr>
        <w:t>認める</w:t>
      </w:r>
      <w:r w:rsidRPr="00D673AA">
        <w:rPr>
          <w:rFonts w:hint="eastAsia"/>
        </w:rPr>
        <w:t>場合は、明確なルールを定めたうえで運用する。</w:t>
      </w:r>
    </w:p>
    <w:p w14:paraId="3BFFD6AA" w14:textId="10B16AB9" w:rsidR="00CF30AE" w:rsidRPr="00D673AA" w:rsidRDefault="00CF30AE" w:rsidP="00B26D05">
      <w:pPr>
        <w:ind w:leftChars="200" w:left="720" w:hangingChars="100" w:hanging="240"/>
      </w:pPr>
      <w:r w:rsidRPr="00D673AA">
        <w:rPr>
          <w:rFonts w:hint="eastAsia"/>
        </w:rPr>
        <w:t xml:space="preserve">④　</w:t>
      </w:r>
      <w:r w:rsidR="00B26D05" w:rsidRPr="00D673AA">
        <w:rPr>
          <w:rFonts w:hint="eastAsia"/>
        </w:rPr>
        <w:t>物品等において発注した当事者以外の検収が困難である場合であって、</w:t>
      </w:r>
      <w:r w:rsidRPr="00D673AA">
        <w:rPr>
          <w:rFonts w:hint="eastAsia"/>
        </w:rPr>
        <w:t>一部の物品等について検収業務を省略する場合は､定期的に抽出による事後確認を実施</w:t>
      </w:r>
      <w:r w:rsidRPr="00D673AA">
        <w:rPr>
          <w:rFonts w:hint="eastAsia"/>
        </w:rPr>
        <w:lastRenderedPageBreak/>
        <w:t>する。</w:t>
      </w:r>
    </w:p>
    <w:p w14:paraId="07490884" w14:textId="77777777" w:rsidR="00B26D05" w:rsidRPr="00D673AA" w:rsidRDefault="00CF30AE" w:rsidP="00CF30AE">
      <w:pPr>
        <w:ind w:leftChars="200" w:left="720" w:hangingChars="100" w:hanging="240"/>
      </w:pPr>
      <w:r w:rsidRPr="00D673AA">
        <w:rPr>
          <w:rFonts w:hint="eastAsia"/>
        </w:rPr>
        <w:t>⑤　特殊な役務</w:t>
      </w:r>
      <w:r w:rsidRPr="00D673AA">
        <w:t>に関する検収について</w:t>
      </w:r>
      <w:r w:rsidRPr="00D673AA">
        <w:rPr>
          <w:rFonts w:hint="eastAsia"/>
        </w:rPr>
        <w:t>は</w:t>
      </w:r>
      <w:r w:rsidRPr="00D673AA">
        <w:t>、</w:t>
      </w:r>
      <w:r w:rsidR="00B26D05" w:rsidRPr="00D673AA">
        <w:rPr>
          <w:rFonts w:hint="eastAsia"/>
        </w:rPr>
        <w:t>以下の通りとする。</w:t>
      </w:r>
    </w:p>
    <w:p w14:paraId="6229531E" w14:textId="4A6926AC" w:rsidR="00B26D05" w:rsidRPr="00D673AA" w:rsidRDefault="00B26D05" w:rsidP="00B26D05">
      <w:pPr>
        <w:ind w:leftChars="300" w:left="720"/>
      </w:pPr>
      <w:r w:rsidRPr="00D673AA">
        <w:rPr>
          <w:rFonts w:hint="eastAsia"/>
        </w:rPr>
        <w:t>・有形の成果物がある場合</w:t>
      </w:r>
    </w:p>
    <w:p w14:paraId="19C38BBE" w14:textId="1FE5849B" w:rsidR="00B26D05" w:rsidRPr="00D673AA" w:rsidRDefault="00015736" w:rsidP="00015736">
      <w:pPr>
        <w:ind w:leftChars="300" w:left="720"/>
      </w:pPr>
      <w:r w:rsidRPr="00D673AA">
        <w:rPr>
          <w:rFonts w:hint="eastAsia"/>
        </w:rPr>
        <w:t>成果物及び完了報告書</w:t>
      </w:r>
      <w:r w:rsidRPr="00D673AA">
        <w:t>等の履行が確認できる書類により、検収を行うとともに、必要に応じ、抽出による事後チェックなどを含め、</w:t>
      </w:r>
      <w:r w:rsidRPr="00D673AA">
        <w:rPr>
          <w:rFonts w:hint="eastAsia"/>
        </w:rPr>
        <w:t>当該役務に係る</w:t>
      </w:r>
      <w:r w:rsidRPr="00D673AA">
        <w:t>知識を有する発注者以外の者がチェックする。</w:t>
      </w:r>
    </w:p>
    <w:p w14:paraId="0534A91B" w14:textId="77777777" w:rsidR="00015736" w:rsidRPr="00D673AA" w:rsidRDefault="00015736" w:rsidP="00015736">
      <w:pPr>
        <w:ind w:leftChars="300" w:left="720"/>
      </w:pPr>
    </w:p>
    <w:p w14:paraId="47FD1772" w14:textId="2D58B2AB" w:rsidR="00015736" w:rsidRPr="00D673AA" w:rsidRDefault="00015736" w:rsidP="00015736">
      <w:pPr>
        <w:ind w:leftChars="300" w:left="720"/>
      </w:pPr>
      <w:r w:rsidRPr="00D673AA">
        <w:rPr>
          <w:rFonts w:hint="eastAsia"/>
        </w:rPr>
        <w:t>・有形の成果物がない場合</w:t>
      </w:r>
    </w:p>
    <w:p w14:paraId="6BF2A714" w14:textId="47D00CB0" w:rsidR="00CF30AE" w:rsidRPr="00CF30AE" w:rsidRDefault="00CF30AE" w:rsidP="00015736">
      <w:pPr>
        <w:ind w:leftChars="300" w:left="720"/>
        <w:rPr>
          <w:color w:val="FF0000"/>
        </w:rPr>
      </w:pPr>
      <w:r w:rsidRPr="00D673AA">
        <w:rPr>
          <w:rFonts w:hint="eastAsia"/>
        </w:rPr>
        <w:t>検収担当者が立会い等による現場確認を行う</w:t>
      </w:r>
      <w:r w:rsidRPr="00D673AA">
        <w:t>。</w:t>
      </w:r>
    </w:p>
    <w:p w14:paraId="7E365FB7" w14:textId="77777777" w:rsidR="000968C3" w:rsidRPr="00CF30AE" w:rsidRDefault="000968C3" w:rsidP="001A3906"/>
    <w:p w14:paraId="3B55D939" w14:textId="5CE2A73B" w:rsidR="001A3906" w:rsidRPr="001A3906" w:rsidRDefault="001A3906" w:rsidP="001A3906">
      <w:r>
        <w:rPr>
          <w:rFonts w:hint="eastAsia"/>
        </w:rPr>
        <w:t>（３）その他</w:t>
      </w:r>
    </w:p>
    <w:p w14:paraId="31CEB707" w14:textId="033A0F84" w:rsidR="009A4983" w:rsidRDefault="00420FBA" w:rsidP="001A3906">
      <w:r>
        <w:rPr>
          <w:rFonts w:hint="eastAsia"/>
        </w:rPr>
        <w:t xml:space="preserve">　　</w:t>
      </w:r>
      <w:r w:rsidR="001A3906">
        <w:rPr>
          <w:rFonts w:hint="eastAsia"/>
        </w:rPr>
        <w:t>①</w:t>
      </w:r>
      <w:r>
        <w:rPr>
          <w:rFonts w:hint="eastAsia"/>
        </w:rPr>
        <w:t xml:space="preserve">　</w:t>
      </w:r>
      <w:r w:rsidR="009A4983">
        <w:t>非常勤雇用者の</w:t>
      </w:r>
      <w:r>
        <w:rPr>
          <w:rFonts w:hint="eastAsia"/>
        </w:rPr>
        <w:t>労務管理等は、</w:t>
      </w:r>
      <w:r w:rsidR="009A4983">
        <w:t>原則として</w:t>
      </w:r>
      <w:r w:rsidR="00B43ADD">
        <w:rPr>
          <w:rFonts w:hint="eastAsia"/>
        </w:rPr>
        <w:t>、</w:t>
      </w:r>
      <w:r>
        <w:rPr>
          <w:rFonts w:hint="eastAsia"/>
        </w:rPr>
        <w:t>総務部が</w:t>
      </w:r>
      <w:r w:rsidR="009A4983">
        <w:rPr>
          <w:rFonts w:hint="eastAsia"/>
        </w:rPr>
        <w:t>実施する。</w:t>
      </w:r>
    </w:p>
    <w:p w14:paraId="075D733A" w14:textId="2420781F" w:rsidR="00DC01D8" w:rsidRDefault="00420FBA" w:rsidP="00DC01D8">
      <w:pPr>
        <w:ind w:left="720" w:hangingChars="300" w:hanging="720"/>
      </w:pPr>
      <w:r>
        <w:rPr>
          <w:rFonts w:hint="eastAsia"/>
        </w:rPr>
        <w:t xml:space="preserve">　　</w:t>
      </w:r>
      <w:r w:rsidR="001A3906">
        <w:rPr>
          <w:rFonts w:hint="eastAsia"/>
        </w:rPr>
        <w:t>②</w:t>
      </w:r>
      <w:r>
        <w:rPr>
          <w:rFonts w:hint="eastAsia"/>
        </w:rPr>
        <w:t xml:space="preserve">　</w:t>
      </w:r>
      <w:r w:rsidR="009A4983">
        <w:t>換金性の高い物品については、</w:t>
      </w:r>
      <w:r w:rsidR="00DC01D8">
        <w:rPr>
          <w:rFonts w:hint="eastAsia"/>
        </w:rPr>
        <w:t>競争的研究費等で購入したことを明示す</w:t>
      </w:r>
      <w:r w:rsidR="00DC01D8">
        <w:t>る</w:t>
      </w:r>
      <w:r w:rsidR="00DC01D8">
        <w:rPr>
          <w:rFonts w:hint="eastAsia"/>
        </w:rPr>
        <w:t>ラベルを貼るほか、会計担当者が定期的に物品の所在を確認する。</w:t>
      </w:r>
    </w:p>
    <w:p w14:paraId="389DD829" w14:textId="68988A3B" w:rsidR="00B43ADD" w:rsidRDefault="001A3906" w:rsidP="001A3906">
      <w:pPr>
        <w:ind w:leftChars="200" w:left="720" w:hangingChars="100" w:hanging="240"/>
      </w:pPr>
      <w:r>
        <w:rPr>
          <w:rFonts w:hint="eastAsia"/>
        </w:rPr>
        <w:t>③</w:t>
      </w:r>
      <w:r w:rsidR="00B43ADD">
        <w:rPr>
          <w:rFonts w:hint="eastAsia"/>
        </w:rPr>
        <w:t xml:space="preserve">　</w:t>
      </w:r>
      <w:r w:rsidR="009A4983">
        <w:t>研究者の出張計画の実行状況等を事務部門で把握・確認</w:t>
      </w:r>
      <w:r w:rsidR="00B43ADD">
        <w:rPr>
          <w:rFonts w:hint="eastAsia"/>
        </w:rPr>
        <w:t>するため、</w:t>
      </w:r>
      <w:r w:rsidR="00DC01D8">
        <w:rPr>
          <w:rFonts w:hint="eastAsia"/>
        </w:rPr>
        <w:t>出張報告書に用務内容、訪問先、宿泊先及び面談者等を詳細に記載する。また、会計担当者は、必要に応じて、用務先等に出張の事実確認を行う。</w:t>
      </w:r>
    </w:p>
    <w:sectPr w:rsidR="00B43ADD" w:rsidSect="00A300B8">
      <w:pgSz w:w="11906" w:h="16838" w:code="9"/>
      <w:pgMar w:top="1134" w:right="1304" w:bottom="1134"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EC97D" w14:textId="77777777" w:rsidR="006C3373" w:rsidRDefault="006C3373" w:rsidP="00D673AA">
      <w:r>
        <w:separator/>
      </w:r>
    </w:p>
  </w:endnote>
  <w:endnote w:type="continuationSeparator" w:id="0">
    <w:p w14:paraId="117FC168" w14:textId="77777777" w:rsidR="006C3373" w:rsidRDefault="006C3373" w:rsidP="00D67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1594" w14:textId="77777777" w:rsidR="006C3373" w:rsidRDefault="006C3373" w:rsidP="00D673AA">
      <w:r>
        <w:separator/>
      </w:r>
    </w:p>
  </w:footnote>
  <w:footnote w:type="continuationSeparator" w:id="0">
    <w:p w14:paraId="129FE015" w14:textId="77777777" w:rsidR="006C3373" w:rsidRDefault="006C3373" w:rsidP="00D673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D5"/>
    <w:rsid w:val="00015736"/>
    <w:rsid w:val="00073D0F"/>
    <w:rsid w:val="000968C3"/>
    <w:rsid w:val="00190D7B"/>
    <w:rsid w:val="001A3906"/>
    <w:rsid w:val="002D5ACE"/>
    <w:rsid w:val="00420FBA"/>
    <w:rsid w:val="00636AAB"/>
    <w:rsid w:val="006C3373"/>
    <w:rsid w:val="00720703"/>
    <w:rsid w:val="007F5819"/>
    <w:rsid w:val="00905D2A"/>
    <w:rsid w:val="009A4983"/>
    <w:rsid w:val="00A300B8"/>
    <w:rsid w:val="00A52351"/>
    <w:rsid w:val="00AF13E6"/>
    <w:rsid w:val="00B26D05"/>
    <w:rsid w:val="00B43ADD"/>
    <w:rsid w:val="00BE1CE2"/>
    <w:rsid w:val="00CF30AE"/>
    <w:rsid w:val="00D673AA"/>
    <w:rsid w:val="00DC01D8"/>
    <w:rsid w:val="00F11509"/>
    <w:rsid w:val="00F11CC1"/>
    <w:rsid w:val="00F45AD5"/>
    <w:rsid w:val="00F533A0"/>
    <w:rsid w:val="00F82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442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3AA"/>
    <w:pPr>
      <w:tabs>
        <w:tab w:val="center" w:pos="4252"/>
        <w:tab w:val="right" w:pos="8504"/>
      </w:tabs>
      <w:snapToGrid w:val="0"/>
    </w:pPr>
  </w:style>
  <w:style w:type="character" w:customStyle="1" w:styleId="a4">
    <w:name w:val="ヘッダー (文字)"/>
    <w:basedOn w:val="a0"/>
    <w:link w:val="a3"/>
    <w:uiPriority w:val="99"/>
    <w:rsid w:val="00D673AA"/>
  </w:style>
  <w:style w:type="paragraph" w:styleId="a5">
    <w:name w:val="footer"/>
    <w:basedOn w:val="a"/>
    <w:link w:val="a6"/>
    <w:uiPriority w:val="99"/>
    <w:unhideWhenUsed/>
    <w:rsid w:val="00D673AA"/>
    <w:pPr>
      <w:tabs>
        <w:tab w:val="center" w:pos="4252"/>
        <w:tab w:val="right" w:pos="8504"/>
      </w:tabs>
      <w:snapToGrid w:val="0"/>
    </w:pPr>
  </w:style>
  <w:style w:type="character" w:customStyle="1" w:styleId="a6">
    <w:name w:val="フッター (文字)"/>
    <w:basedOn w:val="a0"/>
    <w:link w:val="a5"/>
    <w:uiPriority w:val="99"/>
    <w:rsid w:val="00D67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1211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2024-06-14T01:06:00Z</dcterms:created>
  <dcterms:modified xsi:type="dcterms:W3CDTF">2024-06-14T05:09:00Z</dcterms:modified>
</cp:coreProperties>
</file>