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1F57E" w14:textId="32BE1ABF" w:rsidR="00792B6A" w:rsidRDefault="00F71D31" w:rsidP="00792B6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〇年度　</w:t>
      </w:r>
      <w:r w:rsidR="00792B6A" w:rsidRPr="00792B6A">
        <w:rPr>
          <w:rFonts w:ascii="ＭＳ ゴシック" w:eastAsia="ＭＳ ゴシック" w:hAnsi="ＭＳ ゴシック" w:hint="eastAsia"/>
          <w:sz w:val="24"/>
          <w:szCs w:val="24"/>
        </w:rPr>
        <w:t>不正防止計画</w:t>
      </w:r>
      <w:r>
        <w:rPr>
          <w:rFonts w:ascii="ＭＳ ゴシック" w:eastAsia="ＭＳ ゴシック" w:hAnsi="ＭＳ ゴシック" w:hint="eastAsia"/>
          <w:sz w:val="24"/>
          <w:szCs w:val="24"/>
        </w:rPr>
        <w:t>（方針と計画）</w:t>
      </w:r>
    </w:p>
    <w:p w14:paraId="4F825227" w14:textId="77777777" w:rsidR="00792B6A" w:rsidRPr="00792B6A" w:rsidRDefault="00792B6A" w:rsidP="00792B6A">
      <w:pPr>
        <w:jc w:val="center"/>
        <w:rPr>
          <w:rFonts w:ascii="ＭＳ ゴシック" w:eastAsia="ＭＳ ゴシック" w:hAnsi="ＭＳ ゴシック"/>
          <w:sz w:val="24"/>
          <w:szCs w:val="24"/>
        </w:rPr>
      </w:pPr>
    </w:p>
    <w:p w14:paraId="42B31043" w14:textId="2BA91C49" w:rsidR="00D96070" w:rsidRDefault="00792B6A" w:rsidP="00792B6A">
      <w:pPr>
        <w:jc w:val="right"/>
        <w:rPr>
          <w:rFonts w:ascii="ＭＳ ゴシック" w:eastAsia="ＭＳ ゴシック" w:hAnsi="ＭＳ ゴシック"/>
          <w:sz w:val="24"/>
          <w:szCs w:val="24"/>
        </w:rPr>
      </w:pPr>
      <w:r w:rsidRPr="00792B6A">
        <w:rPr>
          <w:rFonts w:ascii="ＭＳ ゴシック" w:eastAsia="ＭＳ ゴシック" w:hAnsi="ＭＳ ゴシック" w:hint="eastAsia"/>
          <w:sz w:val="24"/>
          <w:szCs w:val="24"/>
        </w:rPr>
        <w:t>（令和〇年〇月〇日策定）</w:t>
      </w:r>
    </w:p>
    <w:p w14:paraId="40324BC0" w14:textId="77777777" w:rsidR="00792B6A" w:rsidRDefault="00792B6A" w:rsidP="00792B6A">
      <w:pPr>
        <w:jc w:val="right"/>
        <w:rPr>
          <w:rFonts w:ascii="ＭＳ ゴシック" w:eastAsia="ＭＳ ゴシック" w:hAnsi="ＭＳ ゴシック"/>
          <w:sz w:val="24"/>
          <w:szCs w:val="24"/>
        </w:rPr>
      </w:pPr>
    </w:p>
    <w:p w14:paraId="65FB0B8A" w14:textId="77777777" w:rsidR="00F71D31" w:rsidRDefault="00F71D31" w:rsidP="00792B6A">
      <w:pPr>
        <w:jc w:val="right"/>
        <w:rPr>
          <w:rFonts w:ascii="ＭＳ ゴシック" w:eastAsia="ＭＳ ゴシック" w:hAnsi="ＭＳ ゴシック"/>
          <w:sz w:val="24"/>
          <w:szCs w:val="24"/>
        </w:rPr>
      </w:pPr>
    </w:p>
    <w:p w14:paraId="217C3DC6" w14:textId="30C148CE" w:rsidR="00792B6A" w:rsidRDefault="00792B6A" w:rsidP="00792B6A">
      <w:pPr>
        <w:jc w:val="left"/>
        <w:rPr>
          <w:rFonts w:ascii="ＭＳ ゴシック" w:eastAsia="ＭＳ ゴシック" w:hAnsi="ＭＳ ゴシック"/>
          <w:sz w:val="24"/>
          <w:szCs w:val="24"/>
        </w:rPr>
      </w:pPr>
      <w:r w:rsidRPr="00792B6A">
        <w:rPr>
          <w:rFonts w:ascii="ＭＳ ゴシック" w:eastAsia="ＭＳ ゴシック" w:hAnsi="ＭＳ ゴシック" w:hint="eastAsia"/>
          <w:sz w:val="24"/>
          <w:szCs w:val="24"/>
        </w:rPr>
        <w:t>株式会社○○は、不正防止対策の基本方針に基づき、具体的な対策のうち最上位のものとして、不正防止計画を策定する。</w:t>
      </w:r>
    </w:p>
    <w:p w14:paraId="47EAAA7A" w14:textId="77777777" w:rsidR="00F71D31" w:rsidRDefault="00F71D31" w:rsidP="00792B6A">
      <w:pPr>
        <w:jc w:val="left"/>
        <w:rPr>
          <w:rFonts w:ascii="ＭＳ ゴシック" w:eastAsia="ＭＳ ゴシック" w:hAnsi="ＭＳ ゴシック"/>
          <w:sz w:val="24"/>
          <w:szCs w:val="24"/>
        </w:rPr>
      </w:pPr>
    </w:p>
    <w:p w14:paraId="1D812F41" w14:textId="77777777" w:rsidR="00F71D31" w:rsidRDefault="00F71D31" w:rsidP="00792B6A">
      <w:pPr>
        <w:jc w:val="left"/>
        <w:rPr>
          <w:rFonts w:ascii="ＭＳ ゴシック" w:eastAsia="ＭＳ ゴシック" w:hAnsi="ＭＳ ゴシック"/>
          <w:sz w:val="24"/>
          <w:szCs w:val="24"/>
        </w:rPr>
      </w:pPr>
    </w:p>
    <w:p w14:paraId="21244B16" w14:textId="3F64C627" w:rsidR="00F71D31" w:rsidRDefault="00F71D31" w:rsidP="00792B6A">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　方針</w:t>
      </w:r>
    </w:p>
    <w:p w14:paraId="4E9784CB" w14:textId="77777777" w:rsidR="00F71D31" w:rsidRDefault="00F71D31" w:rsidP="00792B6A">
      <w:pPr>
        <w:jc w:val="left"/>
        <w:rPr>
          <w:rFonts w:ascii="ＭＳ ゴシック" w:eastAsia="ＭＳ ゴシック" w:hAnsi="ＭＳ ゴシック"/>
          <w:sz w:val="24"/>
          <w:szCs w:val="24"/>
        </w:rPr>
      </w:pPr>
    </w:p>
    <w:p w14:paraId="171467E0" w14:textId="0151A158" w:rsidR="00F71D31" w:rsidRPr="00F71D31" w:rsidRDefault="00F71D31" w:rsidP="00F71D31">
      <w:pPr>
        <w:pStyle w:val="a3"/>
        <w:numPr>
          <w:ilvl w:val="0"/>
          <w:numId w:val="1"/>
        </w:numPr>
        <w:ind w:leftChars="0"/>
        <w:jc w:val="left"/>
        <w:rPr>
          <w:rFonts w:ascii="ＭＳ ゴシック" w:eastAsia="ＭＳ ゴシック" w:hAnsi="ＭＳ ゴシック"/>
          <w:sz w:val="24"/>
          <w:szCs w:val="24"/>
        </w:rPr>
      </w:pPr>
      <w:r w:rsidRPr="00F71D31">
        <w:rPr>
          <w:rFonts w:ascii="ＭＳ ゴシック" w:eastAsia="ＭＳ ゴシック" w:hAnsi="ＭＳ ゴシック"/>
          <w:sz w:val="24"/>
          <w:szCs w:val="24"/>
        </w:rPr>
        <w:t>不正防止計画の推進を担当する者</w:t>
      </w:r>
      <w:r w:rsidRPr="00F71D31">
        <w:rPr>
          <w:rFonts w:ascii="ＭＳ ゴシック" w:eastAsia="ＭＳ ゴシック" w:hAnsi="ＭＳ ゴシック" w:hint="eastAsia"/>
          <w:sz w:val="24"/>
          <w:szCs w:val="24"/>
        </w:rPr>
        <w:t>（以下「防止計画推進担当」）</w:t>
      </w:r>
      <w:r w:rsidRPr="00F71D31">
        <w:rPr>
          <w:rFonts w:ascii="ＭＳ ゴシック" w:eastAsia="ＭＳ ゴシック" w:hAnsi="ＭＳ ゴシック"/>
          <w:sz w:val="24"/>
          <w:szCs w:val="24"/>
        </w:rPr>
        <w:t>は、○○課長（または○○課）とする。</w:t>
      </w:r>
    </w:p>
    <w:p w14:paraId="0EDE4D8C" w14:textId="77777777" w:rsidR="00F71D31" w:rsidRPr="00F71D31" w:rsidRDefault="00F71D31" w:rsidP="00F71D31">
      <w:pPr>
        <w:pStyle w:val="a3"/>
        <w:ind w:leftChars="0"/>
        <w:jc w:val="left"/>
        <w:rPr>
          <w:rFonts w:ascii="ＭＳ ゴシック" w:eastAsia="ＭＳ ゴシック" w:hAnsi="ＭＳ ゴシック"/>
          <w:sz w:val="24"/>
          <w:szCs w:val="24"/>
        </w:rPr>
      </w:pPr>
    </w:p>
    <w:p w14:paraId="62F5BAEA" w14:textId="3D0D6F08" w:rsidR="00F71D31" w:rsidRPr="00F71D31" w:rsidRDefault="00F71D31" w:rsidP="00F71D31">
      <w:pPr>
        <w:pStyle w:val="a3"/>
        <w:numPr>
          <w:ilvl w:val="0"/>
          <w:numId w:val="1"/>
        </w:numPr>
        <w:ind w:leftChars="0"/>
        <w:jc w:val="left"/>
        <w:rPr>
          <w:rFonts w:ascii="ＭＳ ゴシック" w:eastAsia="ＭＳ ゴシック" w:hAnsi="ＭＳ ゴシック"/>
          <w:sz w:val="24"/>
          <w:szCs w:val="24"/>
        </w:rPr>
      </w:pPr>
      <w:r w:rsidRPr="00F71D31">
        <w:rPr>
          <w:rFonts w:ascii="ＭＳ ゴシック" w:eastAsia="ＭＳ ゴシック" w:hAnsi="ＭＳ ゴシック" w:hint="eastAsia"/>
          <w:sz w:val="24"/>
          <w:szCs w:val="24"/>
        </w:rPr>
        <w:t>防止計画推進担当</w:t>
      </w:r>
      <w:r w:rsidRPr="00F71D31">
        <w:rPr>
          <w:rFonts w:ascii="ＭＳ ゴシック" w:eastAsia="ＭＳ ゴシック" w:hAnsi="ＭＳ ゴシック"/>
          <w:sz w:val="24"/>
          <w:szCs w:val="24"/>
        </w:rPr>
        <w:t>は、統括管理責任者とともに、会社全体の具体的な対策（不正防止計画、コンプライアンス教育・啓発活動等の計画を含む。）を策定・実施し、実施状況を確認する。</w:t>
      </w:r>
    </w:p>
    <w:p w14:paraId="08D0605C" w14:textId="77777777" w:rsidR="00F71D31" w:rsidRPr="00F71D31" w:rsidRDefault="00F71D31" w:rsidP="00F71D31">
      <w:pPr>
        <w:pStyle w:val="a3"/>
        <w:ind w:leftChars="0"/>
        <w:jc w:val="left"/>
        <w:rPr>
          <w:rFonts w:ascii="ＭＳ ゴシック" w:eastAsia="ＭＳ ゴシック" w:hAnsi="ＭＳ ゴシック"/>
          <w:sz w:val="24"/>
          <w:szCs w:val="24"/>
        </w:rPr>
      </w:pPr>
    </w:p>
    <w:p w14:paraId="7EF0BBB4" w14:textId="344349DF" w:rsidR="00F71D31" w:rsidRPr="00F71D31" w:rsidRDefault="00F71D31" w:rsidP="00F71D31">
      <w:pPr>
        <w:ind w:left="600" w:hangingChars="250" w:hanging="600"/>
        <w:jc w:val="left"/>
        <w:rPr>
          <w:rFonts w:ascii="ＭＳ ゴシック" w:eastAsia="ＭＳ ゴシック" w:hAnsi="ＭＳ ゴシック"/>
          <w:sz w:val="24"/>
          <w:szCs w:val="24"/>
        </w:rPr>
      </w:pPr>
      <w:r w:rsidRPr="00F71D31">
        <w:rPr>
          <w:rFonts w:ascii="ＭＳ ゴシック" w:eastAsia="ＭＳ ゴシック" w:hAnsi="ＭＳ ゴシック" w:hint="eastAsia"/>
          <w:sz w:val="24"/>
          <w:szCs w:val="24"/>
        </w:rPr>
        <w:t>（３）防止計画推進担当は、監査役との連携を強化し、必要な情報提供等を行うとともに、不正防止計画の策定・実施・見直しの状況について意見交換を行う機会を設ける。</w:t>
      </w:r>
    </w:p>
    <w:p w14:paraId="7DFD6B87" w14:textId="77777777" w:rsidR="00F71D31" w:rsidRDefault="00F71D31" w:rsidP="00F71D31">
      <w:pPr>
        <w:ind w:left="600" w:hangingChars="250" w:hanging="600"/>
        <w:jc w:val="left"/>
        <w:rPr>
          <w:rFonts w:ascii="ＭＳ ゴシック" w:eastAsia="ＭＳ ゴシック" w:hAnsi="ＭＳ ゴシック"/>
          <w:sz w:val="24"/>
          <w:szCs w:val="24"/>
        </w:rPr>
      </w:pPr>
    </w:p>
    <w:p w14:paraId="1B1BBAB9" w14:textId="221796B5" w:rsidR="00F71D31" w:rsidRDefault="00F71D31" w:rsidP="00F71D31">
      <w:pPr>
        <w:ind w:left="600" w:hangingChars="250" w:hanging="60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F71D31">
        <w:rPr>
          <w:rFonts w:ascii="ＭＳ ゴシック" w:eastAsia="ＭＳ ゴシック" w:hAnsi="ＭＳ ゴシック" w:hint="eastAsia"/>
          <w:sz w:val="24"/>
          <w:szCs w:val="24"/>
        </w:rPr>
        <w:t>防止計画推進担当は、内部監査</w:t>
      </w:r>
      <w:r>
        <w:rPr>
          <w:rFonts w:ascii="ＭＳ ゴシック" w:eastAsia="ＭＳ ゴシック" w:hAnsi="ＭＳ ゴシック" w:hint="eastAsia"/>
          <w:sz w:val="24"/>
          <w:szCs w:val="24"/>
        </w:rPr>
        <w:t>員</w:t>
      </w:r>
      <w:r w:rsidRPr="00F71D31">
        <w:rPr>
          <w:rFonts w:ascii="ＭＳ ゴシック" w:eastAsia="ＭＳ ゴシック" w:hAnsi="ＭＳ ゴシック" w:hint="eastAsia"/>
          <w:sz w:val="24"/>
          <w:szCs w:val="24"/>
        </w:rPr>
        <w:t>とも連携し、不正を発生させる要因がどこにどのような形であるのか会社全体の状況を体系的に整理し評価する。</w:t>
      </w:r>
    </w:p>
    <w:p w14:paraId="3B4212E5" w14:textId="77777777" w:rsidR="00F71D31" w:rsidRDefault="00F71D31" w:rsidP="00F71D31">
      <w:pPr>
        <w:ind w:left="600" w:hangingChars="250" w:hanging="600"/>
        <w:jc w:val="left"/>
        <w:rPr>
          <w:rFonts w:ascii="ＭＳ ゴシック" w:eastAsia="ＭＳ ゴシック" w:hAnsi="ＭＳ ゴシック"/>
          <w:sz w:val="24"/>
          <w:szCs w:val="24"/>
        </w:rPr>
      </w:pPr>
    </w:p>
    <w:p w14:paraId="37ECC13B" w14:textId="7E1308B5" w:rsidR="00F71D31" w:rsidRDefault="00F71D31" w:rsidP="00F71D31">
      <w:pPr>
        <w:ind w:left="600" w:hangingChars="250" w:hanging="60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Pr="00F71D31">
        <w:rPr>
          <w:rFonts w:ascii="ＭＳ ゴシック" w:eastAsia="ＭＳ ゴシック" w:hAnsi="ＭＳ ゴシック" w:hint="eastAsia"/>
          <w:sz w:val="24"/>
          <w:szCs w:val="24"/>
        </w:rPr>
        <w:t>不正防止計画の策定にあたっては、上記（</w:t>
      </w:r>
      <w:r>
        <w:rPr>
          <w:rFonts w:ascii="ＭＳ ゴシック" w:eastAsia="ＭＳ ゴシック" w:hAnsi="ＭＳ ゴシック" w:hint="eastAsia"/>
          <w:sz w:val="24"/>
          <w:szCs w:val="24"/>
        </w:rPr>
        <w:t>４</w:t>
      </w:r>
      <w:r w:rsidRPr="00F71D31">
        <w:rPr>
          <w:rFonts w:ascii="ＭＳ ゴシック" w:eastAsia="ＭＳ ゴシック" w:hAnsi="ＭＳ ゴシック" w:hint="eastAsia"/>
          <w:sz w:val="24"/>
          <w:szCs w:val="24"/>
        </w:rPr>
        <w:t>）で把握した不正を発生させる要因に対応する対策を反映させ、実効性のある内容にするとともに、不正発生要因に応じて随時見直しを行い、効率化・適正化を図る。</w:t>
      </w:r>
    </w:p>
    <w:p w14:paraId="3982F125" w14:textId="77777777" w:rsidR="00F71D31" w:rsidRDefault="00F71D31" w:rsidP="00F71D31">
      <w:pPr>
        <w:ind w:left="600" w:hangingChars="250" w:hanging="600"/>
        <w:jc w:val="left"/>
        <w:rPr>
          <w:rFonts w:ascii="ＭＳ ゴシック" w:eastAsia="ＭＳ ゴシック" w:hAnsi="ＭＳ ゴシック"/>
          <w:sz w:val="24"/>
          <w:szCs w:val="24"/>
        </w:rPr>
      </w:pPr>
    </w:p>
    <w:p w14:paraId="2607AA58" w14:textId="70DBC0DE" w:rsidR="00F71D31" w:rsidRDefault="00F71D31" w:rsidP="00F71D31">
      <w:pPr>
        <w:ind w:left="600" w:hangingChars="250" w:hanging="60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Pr="00F71D31">
        <w:rPr>
          <w:rFonts w:ascii="ＭＳ ゴシック" w:eastAsia="ＭＳ ゴシック" w:hAnsi="ＭＳ ゴシック" w:hint="eastAsia"/>
          <w:sz w:val="24"/>
          <w:szCs w:val="24"/>
        </w:rPr>
        <w:t>研究を実施する部署は、不正根絶のために、防止計画推進担当と協力しつつ、主体的に不正防止計画を実施する。</w:t>
      </w:r>
    </w:p>
    <w:p w14:paraId="3544873D" w14:textId="77777777" w:rsidR="00F71D31" w:rsidRDefault="00F71D31" w:rsidP="00F71D31">
      <w:pPr>
        <w:ind w:left="600" w:hangingChars="250" w:hanging="600"/>
        <w:jc w:val="left"/>
        <w:rPr>
          <w:rFonts w:ascii="ＭＳ ゴシック" w:eastAsia="ＭＳ ゴシック" w:hAnsi="ＭＳ ゴシック"/>
          <w:sz w:val="24"/>
          <w:szCs w:val="24"/>
        </w:rPr>
      </w:pPr>
    </w:p>
    <w:p w14:paraId="7447785E" w14:textId="77777777" w:rsidR="00F71D31" w:rsidRDefault="00F71D31" w:rsidP="00F71D31">
      <w:pPr>
        <w:ind w:left="600" w:hangingChars="250" w:hanging="600"/>
        <w:jc w:val="left"/>
        <w:rPr>
          <w:rFonts w:ascii="ＭＳ ゴシック" w:eastAsia="ＭＳ ゴシック" w:hAnsi="ＭＳ ゴシック"/>
          <w:sz w:val="24"/>
          <w:szCs w:val="24"/>
        </w:rPr>
      </w:pPr>
    </w:p>
    <w:p w14:paraId="55AABF8A" w14:textId="15B26F62" w:rsidR="00F71D31" w:rsidRDefault="00F71D31" w:rsidP="00F71D31">
      <w:pPr>
        <w:ind w:left="600" w:hangingChars="250" w:hanging="60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　不正防止計画</w:t>
      </w:r>
    </w:p>
    <w:p w14:paraId="0F18D965" w14:textId="77777777" w:rsidR="00F71D31" w:rsidRDefault="00F71D31" w:rsidP="00F71D31">
      <w:pPr>
        <w:ind w:left="600" w:hangingChars="250" w:hanging="600"/>
        <w:jc w:val="left"/>
        <w:rPr>
          <w:rFonts w:ascii="ＭＳ ゴシック" w:eastAsia="ＭＳ ゴシック" w:hAnsi="ＭＳ ゴシック"/>
          <w:sz w:val="24"/>
          <w:szCs w:val="24"/>
        </w:rPr>
      </w:pPr>
    </w:p>
    <w:p w14:paraId="7BFA10E8" w14:textId="3C143C73" w:rsidR="002D6FD0" w:rsidRDefault="002D6FD0" w:rsidP="00A31989">
      <w:pPr>
        <w:ind w:left="600" w:hangingChars="250" w:hanging="60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43703">
        <w:rPr>
          <w:rFonts w:ascii="ＭＳ ゴシック" w:eastAsia="ＭＳ ゴシック" w:hAnsi="ＭＳ ゴシック" w:hint="eastAsia"/>
          <w:sz w:val="24"/>
          <w:szCs w:val="24"/>
        </w:rPr>
        <w:t xml:space="preserve">　</w:t>
      </w:r>
      <w:r w:rsidR="00A31989">
        <w:rPr>
          <w:rFonts w:ascii="ＭＳ ゴシック" w:eastAsia="ＭＳ ゴシック" w:hAnsi="ＭＳ ゴシック" w:hint="eastAsia"/>
          <w:sz w:val="24"/>
          <w:szCs w:val="24"/>
        </w:rPr>
        <w:t>上記１－（４）に基づく検討の結果、</w:t>
      </w:r>
      <w:r w:rsidR="00843703" w:rsidRPr="00843703">
        <w:rPr>
          <w:rFonts w:ascii="ＭＳ ゴシック" w:eastAsia="ＭＳ ゴシック" w:hAnsi="ＭＳ ゴシック" w:hint="eastAsia"/>
          <w:sz w:val="24"/>
          <w:szCs w:val="24"/>
        </w:rPr>
        <w:t>「研究機関における公的研究費の管理・監査のガイドライン」</w:t>
      </w:r>
      <w:r w:rsidR="00843703">
        <w:rPr>
          <w:rFonts w:ascii="ＭＳ ゴシック" w:eastAsia="ＭＳ ゴシック" w:hAnsi="ＭＳ ゴシック" w:hint="eastAsia"/>
          <w:sz w:val="24"/>
          <w:szCs w:val="24"/>
        </w:rPr>
        <w:t>の要請事項（設問）に未対応であることを不正発生要因と捉え、</w:t>
      </w:r>
      <w:r w:rsidR="00A31989">
        <w:rPr>
          <w:rFonts w:ascii="ＭＳ ゴシック" w:eastAsia="ＭＳ ゴシック" w:hAnsi="ＭＳ ゴシック" w:hint="eastAsia"/>
          <w:sz w:val="24"/>
          <w:szCs w:val="24"/>
        </w:rPr>
        <w:t>それへの対策として</w:t>
      </w:r>
      <w:r>
        <w:rPr>
          <w:rFonts w:ascii="ＭＳ ゴシック" w:eastAsia="ＭＳ ゴシック" w:hAnsi="ＭＳ ゴシック" w:hint="eastAsia"/>
          <w:sz w:val="24"/>
          <w:szCs w:val="24"/>
        </w:rPr>
        <w:t>〇年度の不正防止計画</w:t>
      </w:r>
      <w:r w:rsidR="00843703">
        <w:rPr>
          <w:rFonts w:ascii="ＭＳ ゴシック" w:eastAsia="ＭＳ ゴシック" w:hAnsi="ＭＳ ゴシック" w:hint="eastAsia"/>
          <w:sz w:val="24"/>
          <w:szCs w:val="24"/>
        </w:rPr>
        <w:t>を</w:t>
      </w:r>
      <w:r>
        <w:rPr>
          <w:rFonts w:ascii="ＭＳ ゴシック" w:eastAsia="ＭＳ ゴシック" w:hAnsi="ＭＳ ゴシック" w:hint="eastAsia"/>
          <w:sz w:val="24"/>
          <w:szCs w:val="24"/>
        </w:rPr>
        <w:t>（別紙）の</w:t>
      </w:r>
      <w:r w:rsidR="00843703">
        <w:rPr>
          <w:rFonts w:ascii="ＭＳ ゴシック" w:eastAsia="ＭＳ ゴシック" w:hAnsi="ＭＳ ゴシック" w:hint="eastAsia"/>
          <w:sz w:val="24"/>
          <w:szCs w:val="24"/>
        </w:rPr>
        <w:t>とおり策定</w:t>
      </w:r>
      <w:r w:rsidR="00A31989">
        <w:rPr>
          <w:rFonts w:ascii="ＭＳ ゴシック" w:eastAsia="ＭＳ ゴシック" w:hAnsi="ＭＳ ゴシック" w:hint="eastAsia"/>
          <w:sz w:val="24"/>
          <w:szCs w:val="24"/>
        </w:rPr>
        <w:t>・実施</w:t>
      </w:r>
      <w:r>
        <w:rPr>
          <w:rFonts w:ascii="ＭＳ ゴシック" w:eastAsia="ＭＳ ゴシック" w:hAnsi="ＭＳ ゴシック" w:hint="eastAsia"/>
          <w:sz w:val="24"/>
          <w:szCs w:val="24"/>
        </w:rPr>
        <w:t>する。</w:t>
      </w:r>
    </w:p>
    <w:p w14:paraId="00185ABE" w14:textId="77777777" w:rsidR="002D6FD0" w:rsidRDefault="002D6FD0" w:rsidP="00F71D31">
      <w:pPr>
        <w:ind w:left="600" w:hangingChars="250" w:hanging="600"/>
        <w:jc w:val="left"/>
        <w:rPr>
          <w:rFonts w:ascii="ＭＳ ゴシック" w:eastAsia="ＭＳ ゴシック" w:hAnsi="ＭＳ ゴシック"/>
          <w:sz w:val="24"/>
          <w:szCs w:val="24"/>
        </w:rPr>
      </w:pPr>
    </w:p>
    <w:p w14:paraId="376B0763" w14:textId="77777777" w:rsidR="002D6FD0" w:rsidRDefault="002D6FD0" w:rsidP="00F71D31">
      <w:pPr>
        <w:ind w:left="600" w:hangingChars="250" w:hanging="600"/>
        <w:jc w:val="left"/>
        <w:rPr>
          <w:rFonts w:ascii="ＭＳ ゴシック" w:eastAsia="ＭＳ ゴシック" w:hAnsi="ＭＳ ゴシック"/>
          <w:sz w:val="24"/>
          <w:szCs w:val="24"/>
        </w:rPr>
      </w:pPr>
    </w:p>
    <w:p w14:paraId="4E11DD68" w14:textId="77777777" w:rsidR="002D6FD0" w:rsidRDefault="002D6FD0" w:rsidP="00F71D31">
      <w:pPr>
        <w:ind w:left="600" w:hangingChars="250" w:hanging="600"/>
        <w:jc w:val="left"/>
        <w:rPr>
          <w:rFonts w:ascii="ＭＳ ゴシック" w:eastAsia="ＭＳ ゴシック" w:hAnsi="ＭＳ ゴシック"/>
          <w:sz w:val="24"/>
          <w:szCs w:val="24"/>
        </w:rPr>
      </w:pPr>
    </w:p>
    <w:p w14:paraId="0E0B2774" w14:textId="6F5FDA7F" w:rsidR="002D6FD0" w:rsidRDefault="002D6FD0" w:rsidP="00A31989">
      <w:pPr>
        <w:pStyle w:val="a4"/>
      </w:pPr>
      <w:r>
        <w:rPr>
          <w:rFonts w:hint="eastAsia"/>
        </w:rPr>
        <w:t>以　上</w:t>
      </w:r>
    </w:p>
    <w:p w14:paraId="106F0C65" w14:textId="381B79F6" w:rsidR="00A31989" w:rsidRDefault="002D6FD0" w:rsidP="002D6FD0">
      <w:pPr>
        <w:ind w:left="600" w:hangingChars="250" w:hanging="60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w:t>
      </w:r>
    </w:p>
    <w:p w14:paraId="51B28E53" w14:textId="6B8A6A43" w:rsidR="002D6FD0" w:rsidRDefault="002D6FD0" w:rsidP="002D6FD0">
      <w:pPr>
        <w:ind w:left="600" w:hangingChars="250" w:hanging="60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〇年度　不正防止計画</w:t>
      </w:r>
    </w:p>
    <w:p w14:paraId="1EBE5F42" w14:textId="77777777" w:rsidR="002D6FD0" w:rsidRDefault="002D6FD0" w:rsidP="002D6FD0">
      <w:pPr>
        <w:ind w:left="600" w:hangingChars="250" w:hanging="600"/>
        <w:jc w:val="left"/>
        <w:rPr>
          <w:rFonts w:ascii="ＭＳ ゴシック" w:eastAsia="ＭＳ ゴシック" w:hAnsi="ＭＳ ゴシック"/>
          <w:sz w:val="24"/>
          <w:szCs w:val="24"/>
        </w:rPr>
      </w:pPr>
    </w:p>
    <w:tbl>
      <w:tblPr>
        <w:tblStyle w:val="a6"/>
        <w:tblW w:w="10632" w:type="dxa"/>
        <w:tblInd w:w="-5" w:type="dxa"/>
        <w:tblLook w:val="04A0" w:firstRow="1" w:lastRow="0" w:firstColumn="1" w:lastColumn="0" w:noHBand="0" w:noVBand="1"/>
      </w:tblPr>
      <w:tblGrid>
        <w:gridCol w:w="3119"/>
        <w:gridCol w:w="4252"/>
        <w:gridCol w:w="1134"/>
        <w:gridCol w:w="2127"/>
      </w:tblGrid>
      <w:tr w:rsidR="002D6FD0" w14:paraId="70B71D7D" w14:textId="77777777" w:rsidTr="008B267C">
        <w:tc>
          <w:tcPr>
            <w:tcW w:w="3119" w:type="dxa"/>
          </w:tcPr>
          <w:p w14:paraId="025A3856" w14:textId="1A3ECFC8" w:rsidR="002D6FD0" w:rsidRDefault="002D6FD0" w:rsidP="002D6FD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不正発生要因</w:t>
            </w:r>
          </w:p>
        </w:tc>
        <w:tc>
          <w:tcPr>
            <w:tcW w:w="4252" w:type="dxa"/>
          </w:tcPr>
          <w:p w14:paraId="5A2FEEB7" w14:textId="6558D1CF" w:rsidR="002D6FD0" w:rsidRDefault="002D6FD0" w:rsidP="002D6FD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不正防止計画</w:t>
            </w:r>
          </w:p>
        </w:tc>
        <w:tc>
          <w:tcPr>
            <w:tcW w:w="1134" w:type="dxa"/>
          </w:tcPr>
          <w:p w14:paraId="7BE5DA84" w14:textId="4F039140" w:rsidR="002D6FD0" w:rsidRDefault="002D6FD0" w:rsidP="002D6FD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担当</w:t>
            </w:r>
          </w:p>
        </w:tc>
        <w:tc>
          <w:tcPr>
            <w:tcW w:w="2127" w:type="dxa"/>
          </w:tcPr>
          <w:p w14:paraId="3BFCEA59" w14:textId="23DDCE57" w:rsidR="002D6FD0" w:rsidRDefault="002D6FD0" w:rsidP="002D6FD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備考</w:t>
            </w:r>
          </w:p>
        </w:tc>
      </w:tr>
      <w:tr w:rsidR="002D6FD0" w14:paraId="7E13F5B4" w14:textId="77777777" w:rsidTr="008B267C">
        <w:tc>
          <w:tcPr>
            <w:tcW w:w="3119" w:type="dxa"/>
          </w:tcPr>
          <w:p w14:paraId="2D43F24A" w14:textId="77777777" w:rsidR="002D6FD0" w:rsidRDefault="002D6FD0" w:rsidP="002D6FD0">
            <w:pPr>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　公的研究費の管理体制や通報・相談窓口が周知されない。</w:t>
            </w:r>
          </w:p>
          <w:p w14:paraId="3BF3375A" w14:textId="5A42D3E5" w:rsidR="00843703" w:rsidRDefault="00843703" w:rsidP="00B1043E">
            <w:pPr>
              <w:ind w:left="480" w:hangingChars="200" w:hanging="48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（設問1～3･20･47）</w:t>
            </w:r>
          </w:p>
        </w:tc>
        <w:tc>
          <w:tcPr>
            <w:tcW w:w="4252" w:type="dxa"/>
          </w:tcPr>
          <w:p w14:paraId="16473A77" w14:textId="77777777" w:rsidR="002D6FD0" w:rsidRDefault="002D6FD0" w:rsidP="002D6FD0">
            <w:pPr>
              <w:pStyle w:val="a3"/>
              <w:numPr>
                <w:ilvl w:val="0"/>
                <w:numId w:val="2"/>
              </w:numPr>
              <w:ind w:leftChars="0"/>
              <w:jc w:val="left"/>
              <w:rPr>
                <w:rFonts w:ascii="ＭＳ ゴシック" w:eastAsia="ＭＳ ゴシック" w:hAnsi="ＭＳ ゴシック"/>
                <w:sz w:val="24"/>
                <w:szCs w:val="24"/>
              </w:rPr>
            </w:pPr>
            <w:r w:rsidRPr="002D6FD0">
              <w:rPr>
                <w:rFonts w:ascii="ＭＳ ゴシック" w:eastAsia="ＭＳ ゴシック" w:hAnsi="ＭＳ ゴシック" w:hint="eastAsia"/>
                <w:sz w:val="24"/>
                <w:szCs w:val="24"/>
              </w:rPr>
              <w:t>管理体制をＨＰに掲載（又は第三者が閲覧可能な箇所に社内掲示）する。</w:t>
            </w:r>
          </w:p>
          <w:p w14:paraId="7C9F43BF" w14:textId="7E9C50C8" w:rsidR="002D6FD0" w:rsidRPr="002D6FD0" w:rsidRDefault="002D6FD0" w:rsidP="002D6FD0">
            <w:pPr>
              <w:pStyle w:val="a3"/>
              <w:numPr>
                <w:ilvl w:val="0"/>
                <w:numId w:val="2"/>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責任体制並びに通報・相談窓口の説明</w:t>
            </w:r>
          </w:p>
        </w:tc>
        <w:tc>
          <w:tcPr>
            <w:tcW w:w="1134" w:type="dxa"/>
          </w:tcPr>
          <w:p w14:paraId="04F6DE3E" w14:textId="39046E5F" w:rsidR="002D6FD0" w:rsidRPr="002D6FD0" w:rsidRDefault="002D6FD0" w:rsidP="002D6FD0">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最高管理責任者</w:t>
            </w:r>
          </w:p>
        </w:tc>
        <w:tc>
          <w:tcPr>
            <w:tcW w:w="2127" w:type="dxa"/>
          </w:tcPr>
          <w:p w14:paraId="0DB89AB6" w14:textId="36BC2B50" w:rsidR="002D6FD0" w:rsidRPr="002D6FD0" w:rsidRDefault="002D6FD0" w:rsidP="002D6FD0">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１－２）</w:t>
            </w:r>
            <w:r w:rsidRPr="002D6FD0">
              <w:rPr>
                <w:rFonts w:ascii="ＭＳ ゴシック" w:eastAsia="ＭＳ ゴシック" w:hAnsi="ＭＳ ゴシック" w:hint="eastAsia"/>
                <w:sz w:val="24"/>
                <w:szCs w:val="24"/>
              </w:rPr>
              <w:t>は</w:t>
            </w:r>
            <w:r w:rsidR="008B267C">
              <w:rPr>
                <w:rFonts w:ascii="ＭＳ ゴシック" w:eastAsia="ＭＳ ゴシック" w:hAnsi="ＭＳ ゴシック" w:hint="eastAsia"/>
                <w:sz w:val="24"/>
                <w:szCs w:val="24"/>
              </w:rPr>
              <w:t>｢</w:t>
            </w:r>
            <w:r w:rsidRPr="002D6FD0">
              <w:rPr>
                <w:rFonts w:ascii="ＭＳ ゴシック" w:eastAsia="ＭＳ ゴシック" w:hAnsi="ＭＳ ゴシック" w:hint="eastAsia"/>
                <w:sz w:val="24"/>
                <w:szCs w:val="24"/>
              </w:rPr>
              <w:t>コンプライアンス教育・啓発活動等の実施計画</w:t>
            </w:r>
            <w:r w:rsidR="008B267C">
              <w:rPr>
                <w:rFonts w:ascii="ＭＳ ゴシック" w:eastAsia="ＭＳ ゴシック" w:hAnsi="ＭＳ ゴシック" w:hint="eastAsia"/>
                <w:sz w:val="24"/>
                <w:szCs w:val="24"/>
              </w:rPr>
              <w:t>(〇年度</w:t>
            </w:r>
            <w:r w:rsidR="008B267C">
              <w:rPr>
                <w:rFonts w:ascii="ＭＳ ゴシック" w:eastAsia="ＭＳ ゴシック" w:hAnsi="ＭＳ ゴシック"/>
                <w:sz w:val="24"/>
                <w:szCs w:val="24"/>
              </w:rPr>
              <w:t>)</w:t>
            </w:r>
            <w:r w:rsidR="008B267C">
              <w:rPr>
                <w:rFonts w:ascii="ＭＳ ゴシック" w:eastAsia="ＭＳ ゴシック" w:hAnsi="ＭＳ ゴシック" w:hint="eastAsia"/>
                <w:sz w:val="24"/>
                <w:szCs w:val="24"/>
              </w:rPr>
              <w:t>｣</w:t>
            </w:r>
            <w:r w:rsidRPr="002D6FD0">
              <w:rPr>
                <w:rFonts w:ascii="ＭＳ ゴシック" w:eastAsia="ＭＳ ゴシック" w:hAnsi="ＭＳ ゴシック" w:hint="eastAsia"/>
                <w:sz w:val="24"/>
                <w:szCs w:val="24"/>
              </w:rPr>
              <w:t>に織込み（１０月）</w:t>
            </w:r>
          </w:p>
        </w:tc>
      </w:tr>
      <w:tr w:rsidR="002D6FD0" w14:paraId="215A494C" w14:textId="77777777" w:rsidTr="008B267C">
        <w:tc>
          <w:tcPr>
            <w:tcW w:w="3119" w:type="dxa"/>
          </w:tcPr>
          <w:p w14:paraId="6360B7E3" w14:textId="77777777" w:rsidR="002D6FD0" w:rsidRDefault="00843703" w:rsidP="00843703">
            <w:pPr>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　コンプライアンスに係る構成員の意識が向上しない。</w:t>
            </w:r>
          </w:p>
          <w:p w14:paraId="5EC6066E" w14:textId="2EB974F3" w:rsidR="00843703" w:rsidRDefault="00843703" w:rsidP="00B1043E">
            <w:pPr>
              <w:ind w:left="480" w:hangingChars="200" w:hanging="48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（設問6～11）</w:t>
            </w:r>
          </w:p>
        </w:tc>
        <w:tc>
          <w:tcPr>
            <w:tcW w:w="4252" w:type="dxa"/>
          </w:tcPr>
          <w:p w14:paraId="3502C83D" w14:textId="77777777" w:rsidR="002D6FD0" w:rsidRDefault="00843703" w:rsidP="00843703">
            <w:pPr>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１）コンプライアンス教育・啓発活動等の実施計画を策定し実施する。</w:t>
            </w:r>
          </w:p>
          <w:p w14:paraId="6DF19688" w14:textId="3CA62B4C" w:rsidR="00843703" w:rsidRDefault="00843703" w:rsidP="00843703">
            <w:pPr>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２）上記の一環として行動規範を策定する。</w:t>
            </w:r>
          </w:p>
        </w:tc>
        <w:tc>
          <w:tcPr>
            <w:tcW w:w="1134" w:type="dxa"/>
          </w:tcPr>
          <w:p w14:paraId="6828C0D0" w14:textId="37A42AC9" w:rsidR="002D6FD0" w:rsidRDefault="00843703" w:rsidP="002D6FD0">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コンプライアンス推進責任者</w:t>
            </w:r>
          </w:p>
        </w:tc>
        <w:tc>
          <w:tcPr>
            <w:tcW w:w="2127" w:type="dxa"/>
          </w:tcPr>
          <w:p w14:paraId="7E79CA7E" w14:textId="1D19F4BB" w:rsidR="002D6FD0" w:rsidRDefault="008B267C" w:rsidP="002D6FD0">
            <w:pPr>
              <w:jc w:val="left"/>
              <w:rPr>
                <w:rFonts w:ascii="ＭＳ ゴシック" w:eastAsia="ＭＳ ゴシック" w:hAnsi="ＭＳ ゴシック"/>
                <w:sz w:val="24"/>
                <w:szCs w:val="24"/>
              </w:rPr>
            </w:pPr>
            <w:r w:rsidRPr="008B267C">
              <w:rPr>
                <w:rFonts w:ascii="ＭＳ ゴシック" w:eastAsia="ＭＳ ゴシック" w:hAnsi="ＭＳ ゴシック"/>
                <w:sz w:val="24"/>
                <w:szCs w:val="24"/>
              </w:rPr>
              <w:t>コンプライアンス教育・啓発活動等の実施計画(〇年度)</w:t>
            </w:r>
          </w:p>
        </w:tc>
      </w:tr>
      <w:tr w:rsidR="00B1043E" w14:paraId="5762B88B" w14:textId="77777777" w:rsidTr="008B267C">
        <w:tc>
          <w:tcPr>
            <w:tcW w:w="3119" w:type="dxa"/>
          </w:tcPr>
          <w:p w14:paraId="05AAF393" w14:textId="1B6F5FFC" w:rsidR="00B1043E" w:rsidRDefault="00B1043E" w:rsidP="00292AAB">
            <w:pPr>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w:t>
            </w:r>
            <w:r w:rsidRPr="00292AAB">
              <w:rPr>
                <w:rFonts w:ascii="ＭＳ ゴシック" w:eastAsia="ＭＳ ゴシック" w:hAnsi="ＭＳ ゴシック" w:hint="eastAsia"/>
                <w:sz w:val="24"/>
                <w:szCs w:val="24"/>
              </w:rPr>
              <w:t>競争的研究費等に係る事務処理手続に関するルール</w:t>
            </w:r>
            <w:r>
              <w:rPr>
                <w:rFonts w:ascii="ＭＳ ゴシック" w:eastAsia="ＭＳ ゴシック" w:hAnsi="ＭＳ ゴシック" w:hint="eastAsia"/>
                <w:sz w:val="24"/>
                <w:szCs w:val="24"/>
              </w:rPr>
              <w:t>が不明確。</w:t>
            </w:r>
          </w:p>
          <w:p w14:paraId="1FBAB676" w14:textId="3AF9D75E" w:rsidR="00B1043E" w:rsidRDefault="00B1043E" w:rsidP="00B1043E">
            <w:pPr>
              <w:ind w:left="480" w:hangingChars="200" w:hanging="48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（設問12～15）</w:t>
            </w:r>
          </w:p>
        </w:tc>
        <w:tc>
          <w:tcPr>
            <w:tcW w:w="4252" w:type="dxa"/>
          </w:tcPr>
          <w:p w14:paraId="79E0EB11" w14:textId="77777777" w:rsidR="00B1043E" w:rsidRDefault="00B1043E" w:rsidP="00292AAB">
            <w:pPr>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１）該当するルールを明確化し、存在や保管場所等を周知する。</w:t>
            </w:r>
          </w:p>
          <w:p w14:paraId="58F69C24" w14:textId="1B56BCAC" w:rsidR="00B1043E" w:rsidRDefault="00B1043E" w:rsidP="00292AAB">
            <w:pPr>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２）ルールの遵守状況等をモニタリングする。</w:t>
            </w:r>
          </w:p>
        </w:tc>
        <w:tc>
          <w:tcPr>
            <w:tcW w:w="1134" w:type="dxa"/>
            <w:vMerge w:val="restart"/>
          </w:tcPr>
          <w:p w14:paraId="4058E883" w14:textId="77777777" w:rsidR="00B1043E" w:rsidRDefault="00B1043E" w:rsidP="002D6FD0">
            <w:pPr>
              <w:jc w:val="left"/>
              <w:rPr>
                <w:rFonts w:ascii="ＭＳ ゴシック" w:eastAsia="ＭＳ ゴシック" w:hAnsi="ＭＳ ゴシック"/>
                <w:sz w:val="24"/>
                <w:szCs w:val="24"/>
              </w:rPr>
            </w:pPr>
            <w:r w:rsidRPr="00292AAB">
              <w:rPr>
                <w:rFonts w:ascii="ＭＳ ゴシック" w:eastAsia="ＭＳ ゴシック" w:hAnsi="ＭＳ ゴシック" w:hint="eastAsia"/>
                <w:sz w:val="24"/>
                <w:szCs w:val="24"/>
              </w:rPr>
              <w:t>コンプライアンス推進責任者</w:t>
            </w:r>
          </w:p>
          <w:p w14:paraId="7302A5A4" w14:textId="77777777" w:rsidR="00B1043E" w:rsidRDefault="00B1043E" w:rsidP="002D6FD0">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または</w:t>
            </w:r>
          </w:p>
          <w:p w14:paraId="07D0F1AA" w14:textId="02186033" w:rsidR="00B1043E" w:rsidRDefault="00B1043E" w:rsidP="002D6FD0">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防止計画推進担当</w:t>
            </w:r>
          </w:p>
        </w:tc>
        <w:tc>
          <w:tcPr>
            <w:tcW w:w="2127" w:type="dxa"/>
          </w:tcPr>
          <w:p w14:paraId="75D3BF67" w14:textId="35E2D9F7" w:rsidR="00B1043E" w:rsidRDefault="00724008" w:rsidP="002D6FD0">
            <w:pPr>
              <w:jc w:val="left"/>
              <w:rPr>
                <w:rFonts w:ascii="ＭＳ ゴシック" w:eastAsia="ＭＳ ゴシック" w:hAnsi="ＭＳ ゴシック"/>
                <w:sz w:val="24"/>
                <w:szCs w:val="24"/>
              </w:rPr>
            </w:pPr>
            <w:r w:rsidRPr="00724008">
              <w:rPr>
                <w:rFonts w:ascii="ＭＳ ゴシック" w:eastAsia="ＭＳ ゴシック" w:hAnsi="ＭＳ ゴシック" w:hint="eastAsia"/>
                <w:sz w:val="24"/>
                <w:szCs w:val="24"/>
              </w:rPr>
              <w:t>競争的資金等に係る事務処理手続に関するルールへの対応について</w:t>
            </w:r>
          </w:p>
        </w:tc>
      </w:tr>
      <w:tr w:rsidR="00B1043E" w14:paraId="7AED6657" w14:textId="77777777" w:rsidTr="008B267C">
        <w:tc>
          <w:tcPr>
            <w:tcW w:w="3119" w:type="dxa"/>
          </w:tcPr>
          <w:p w14:paraId="0AD119EF" w14:textId="0D57B62F" w:rsidR="00B1043E" w:rsidRDefault="00B1043E" w:rsidP="00292AAB">
            <w:pPr>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４　</w:t>
            </w:r>
            <w:r w:rsidRPr="00292AAB">
              <w:rPr>
                <w:rFonts w:ascii="ＭＳ ゴシック" w:eastAsia="ＭＳ ゴシック" w:hAnsi="ＭＳ ゴシック" w:hint="eastAsia"/>
                <w:sz w:val="24"/>
                <w:szCs w:val="24"/>
              </w:rPr>
              <w:t>競争的研究費等の事務処理に関する</w:t>
            </w:r>
            <w:r>
              <w:rPr>
                <w:rFonts w:ascii="ＭＳ ゴシック" w:eastAsia="ＭＳ ゴシック" w:hAnsi="ＭＳ ゴシック" w:hint="eastAsia"/>
                <w:sz w:val="24"/>
                <w:szCs w:val="24"/>
              </w:rPr>
              <w:t>職務権限等が不明確</w:t>
            </w:r>
          </w:p>
          <w:p w14:paraId="014E9C85" w14:textId="1D53C0BC" w:rsidR="00B1043E" w:rsidRDefault="00B1043E" w:rsidP="00B1043E">
            <w:pPr>
              <w:ind w:left="480" w:hangingChars="200" w:hanging="48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（設問16～19）</w:t>
            </w:r>
          </w:p>
        </w:tc>
        <w:tc>
          <w:tcPr>
            <w:tcW w:w="4252" w:type="dxa"/>
          </w:tcPr>
          <w:p w14:paraId="711E7603" w14:textId="77777777" w:rsidR="00B1043E" w:rsidRDefault="00B1043E" w:rsidP="00292AAB">
            <w:pPr>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１）職務分掌や職務権限等に係るルールを明確化する。</w:t>
            </w:r>
          </w:p>
          <w:p w14:paraId="3FD73CA2" w14:textId="652A9DE6" w:rsidR="00B1043E" w:rsidRDefault="00B1043E" w:rsidP="00292AAB">
            <w:pPr>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２）職務分掌や職務権限等に係るルールの遵守状況等をモニタリングする。</w:t>
            </w:r>
          </w:p>
        </w:tc>
        <w:tc>
          <w:tcPr>
            <w:tcW w:w="1134" w:type="dxa"/>
            <w:vMerge/>
          </w:tcPr>
          <w:p w14:paraId="3F3DF409" w14:textId="6FA6A896" w:rsidR="00B1043E" w:rsidRPr="00292AAB" w:rsidRDefault="00B1043E" w:rsidP="002D6FD0">
            <w:pPr>
              <w:jc w:val="left"/>
              <w:rPr>
                <w:rFonts w:ascii="ＭＳ ゴシック" w:eastAsia="ＭＳ ゴシック" w:hAnsi="ＭＳ ゴシック"/>
                <w:sz w:val="24"/>
                <w:szCs w:val="24"/>
              </w:rPr>
            </w:pPr>
          </w:p>
        </w:tc>
        <w:tc>
          <w:tcPr>
            <w:tcW w:w="2127" w:type="dxa"/>
          </w:tcPr>
          <w:p w14:paraId="46C7D2C3" w14:textId="6FF712AC" w:rsidR="00B1043E" w:rsidRDefault="00724008" w:rsidP="002D6FD0">
            <w:pPr>
              <w:jc w:val="left"/>
              <w:rPr>
                <w:rFonts w:ascii="ＭＳ ゴシック" w:eastAsia="ＭＳ ゴシック" w:hAnsi="ＭＳ ゴシック"/>
                <w:sz w:val="24"/>
                <w:szCs w:val="24"/>
              </w:rPr>
            </w:pPr>
            <w:r w:rsidRPr="00724008">
              <w:rPr>
                <w:rFonts w:ascii="ＭＳ ゴシック" w:eastAsia="ＭＳ ゴシック" w:hAnsi="ＭＳ ゴシック" w:hint="eastAsia"/>
                <w:sz w:val="24"/>
                <w:szCs w:val="24"/>
              </w:rPr>
              <w:t>競争的研究費等に係る職務権限の明確化について</w:t>
            </w:r>
          </w:p>
        </w:tc>
      </w:tr>
      <w:tr w:rsidR="00B1043E" w14:paraId="27FBCD69" w14:textId="77777777" w:rsidTr="008B267C">
        <w:tc>
          <w:tcPr>
            <w:tcW w:w="3119" w:type="dxa"/>
          </w:tcPr>
          <w:p w14:paraId="3E5DB9C9" w14:textId="02E6E9DE" w:rsidR="00B1043E" w:rsidRDefault="00B1043E" w:rsidP="00B1043E">
            <w:pPr>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５　</w:t>
            </w:r>
            <w:r w:rsidRPr="00720E47">
              <w:rPr>
                <w:rFonts w:ascii="ＭＳ ゴシック" w:eastAsia="ＭＳ ゴシック" w:hAnsi="ＭＳ ゴシック" w:hint="eastAsia"/>
                <w:sz w:val="24"/>
                <w:szCs w:val="24"/>
              </w:rPr>
              <w:t>第三者からの実効性のあるチェックが効くシステム</w:t>
            </w:r>
            <w:r>
              <w:rPr>
                <w:rFonts w:ascii="ＭＳ ゴシック" w:eastAsia="ＭＳ ゴシック" w:hAnsi="ＭＳ ゴシック" w:hint="eastAsia"/>
                <w:sz w:val="24"/>
                <w:szCs w:val="24"/>
              </w:rPr>
              <w:t>がない・機能していない。</w:t>
            </w:r>
          </w:p>
          <w:p w14:paraId="007C2034" w14:textId="0E3762A7" w:rsidR="00B1043E" w:rsidRDefault="00B1043E" w:rsidP="00B1043E">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（設問37～46）</w:t>
            </w:r>
          </w:p>
        </w:tc>
        <w:tc>
          <w:tcPr>
            <w:tcW w:w="4252" w:type="dxa"/>
          </w:tcPr>
          <w:p w14:paraId="23D596FC" w14:textId="04FEC1C6" w:rsidR="00B1043E" w:rsidRDefault="00B1043E" w:rsidP="008B267C">
            <w:pPr>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１）四半期に一度、予算の執行状況をモニタリングする。</w:t>
            </w:r>
          </w:p>
          <w:p w14:paraId="44A7570E" w14:textId="77777777" w:rsidR="00B1043E" w:rsidRDefault="00B1043E" w:rsidP="00720E47">
            <w:pPr>
              <w:pStyle w:val="a3"/>
              <w:numPr>
                <w:ilvl w:val="0"/>
                <w:numId w:val="4"/>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半期に一度、以下の二点をモニタリングする。</w:t>
            </w:r>
          </w:p>
          <w:p w14:paraId="499A5E9C" w14:textId="77777777" w:rsidR="008B267C" w:rsidRDefault="00B1043E" w:rsidP="00B1043E">
            <w:pPr>
              <w:pStyle w:val="a3"/>
              <w:ind w:leftChars="0" w:left="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720E47">
              <w:rPr>
                <w:rFonts w:ascii="ＭＳ ゴシック" w:eastAsia="ＭＳ ゴシック" w:hAnsi="ＭＳ ゴシック" w:hint="eastAsia"/>
                <w:sz w:val="24"/>
                <w:szCs w:val="24"/>
              </w:rPr>
              <w:t>発注時点での支出財源の特定</w:t>
            </w:r>
          </w:p>
          <w:p w14:paraId="01A5D12A" w14:textId="02992E85" w:rsidR="00B1043E" w:rsidRDefault="00B1043E" w:rsidP="008B267C">
            <w:pPr>
              <w:pStyle w:val="a3"/>
              <w:ind w:leftChars="0" w:left="480" w:firstLineChars="100" w:firstLine="240"/>
              <w:jc w:val="left"/>
              <w:rPr>
                <w:rFonts w:ascii="ＭＳ ゴシック" w:eastAsia="ＭＳ ゴシック" w:hAnsi="ＭＳ ゴシック"/>
                <w:sz w:val="24"/>
                <w:szCs w:val="24"/>
              </w:rPr>
            </w:pPr>
            <w:r w:rsidRPr="00720E47">
              <w:rPr>
                <w:rFonts w:ascii="ＭＳ ゴシック" w:eastAsia="ＭＳ ゴシック" w:hAnsi="ＭＳ ゴシック" w:hint="eastAsia"/>
                <w:sz w:val="24"/>
                <w:szCs w:val="24"/>
              </w:rPr>
              <w:t>状況</w:t>
            </w:r>
          </w:p>
          <w:p w14:paraId="34EC2376" w14:textId="4623CACC" w:rsidR="00B1043E" w:rsidRPr="00720E47" w:rsidRDefault="00B1043E" w:rsidP="00B1043E">
            <w:pPr>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・総務部による非常勤雇用者の労務管理等の状況</w:t>
            </w:r>
          </w:p>
        </w:tc>
        <w:tc>
          <w:tcPr>
            <w:tcW w:w="1134" w:type="dxa"/>
            <w:vMerge/>
          </w:tcPr>
          <w:p w14:paraId="62194507" w14:textId="679E7283" w:rsidR="00B1043E" w:rsidRDefault="00B1043E" w:rsidP="002D6FD0">
            <w:pPr>
              <w:jc w:val="left"/>
              <w:rPr>
                <w:rFonts w:ascii="ＭＳ ゴシック" w:eastAsia="ＭＳ ゴシック" w:hAnsi="ＭＳ ゴシック"/>
                <w:sz w:val="24"/>
                <w:szCs w:val="24"/>
              </w:rPr>
            </w:pPr>
          </w:p>
        </w:tc>
        <w:tc>
          <w:tcPr>
            <w:tcW w:w="2127" w:type="dxa"/>
          </w:tcPr>
          <w:p w14:paraId="7E79F6BE" w14:textId="504B9AB4" w:rsidR="00B1043E" w:rsidRDefault="00797653" w:rsidP="002D6FD0">
            <w:pPr>
              <w:jc w:val="left"/>
              <w:rPr>
                <w:rFonts w:ascii="ＭＳ ゴシック" w:eastAsia="ＭＳ ゴシック" w:hAnsi="ＭＳ ゴシック"/>
                <w:sz w:val="24"/>
                <w:szCs w:val="24"/>
              </w:rPr>
            </w:pPr>
            <w:r w:rsidRPr="00797653">
              <w:rPr>
                <w:rFonts w:ascii="ＭＳ ゴシック" w:eastAsia="ＭＳ ゴシック" w:hAnsi="ＭＳ ゴシック" w:hint="eastAsia"/>
                <w:sz w:val="24"/>
                <w:szCs w:val="24"/>
              </w:rPr>
              <w:t>公的研究費の適正な運営・管理活動に係る対応について</w:t>
            </w:r>
          </w:p>
        </w:tc>
      </w:tr>
    </w:tbl>
    <w:p w14:paraId="5ED9D47B" w14:textId="77777777" w:rsidR="002D6FD0" w:rsidRDefault="002D6FD0" w:rsidP="002D6FD0">
      <w:pPr>
        <w:ind w:left="600" w:hangingChars="250" w:hanging="600"/>
        <w:jc w:val="left"/>
        <w:rPr>
          <w:rFonts w:ascii="ＭＳ ゴシック" w:eastAsia="ＭＳ ゴシック" w:hAnsi="ＭＳ ゴシック"/>
          <w:sz w:val="24"/>
          <w:szCs w:val="24"/>
        </w:rPr>
      </w:pPr>
    </w:p>
    <w:p w14:paraId="3B7E64C9" w14:textId="7492C055" w:rsidR="00B1043E" w:rsidRDefault="00B1043E" w:rsidP="002D6FD0">
      <w:pPr>
        <w:ind w:left="600" w:hangingChars="250" w:hanging="60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＊不正防止計画の策定・実施・見直しの状況について、監査役と意見交換</w:t>
      </w:r>
      <w:r w:rsidR="00C55B01">
        <w:rPr>
          <w:rFonts w:ascii="ＭＳ ゴシック" w:eastAsia="ＭＳ ゴシック" w:hAnsi="ＭＳ ゴシック" w:hint="eastAsia"/>
          <w:sz w:val="24"/>
          <w:szCs w:val="24"/>
        </w:rPr>
        <w:t>の状況</w:t>
      </w:r>
    </w:p>
    <w:tbl>
      <w:tblPr>
        <w:tblStyle w:val="a6"/>
        <w:tblW w:w="0" w:type="auto"/>
        <w:tblInd w:w="-5" w:type="dxa"/>
        <w:tblLook w:val="04A0" w:firstRow="1" w:lastRow="0" w:firstColumn="1" w:lastColumn="0" w:noHBand="0" w:noVBand="1"/>
      </w:tblPr>
      <w:tblGrid>
        <w:gridCol w:w="2552"/>
        <w:gridCol w:w="2977"/>
        <w:gridCol w:w="4954"/>
      </w:tblGrid>
      <w:tr w:rsidR="00B1043E" w14:paraId="6C6EA789" w14:textId="77777777" w:rsidTr="00C55B01">
        <w:tc>
          <w:tcPr>
            <w:tcW w:w="2552" w:type="dxa"/>
          </w:tcPr>
          <w:p w14:paraId="38DC8511" w14:textId="7508936F" w:rsidR="00B1043E" w:rsidRDefault="00B1043E" w:rsidP="00C55B0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日時</w:t>
            </w:r>
          </w:p>
        </w:tc>
        <w:tc>
          <w:tcPr>
            <w:tcW w:w="2977" w:type="dxa"/>
          </w:tcPr>
          <w:p w14:paraId="7EE9B404" w14:textId="4186358E" w:rsidR="00B1043E" w:rsidRDefault="00C55B01" w:rsidP="00C55B0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参加者</w:t>
            </w:r>
          </w:p>
        </w:tc>
        <w:tc>
          <w:tcPr>
            <w:tcW w:w="4954" w:type="dxa"/>
          </w:tcPr>
          <w:p w14:paraId="66ABEB4C" w14:textId="1B729041" w:rsidR="00B1043E" w:rsidRDefault="00C55B01" w:rsidP="00C55B0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意見交換した内容</w:t>
            </w:r>
          </w:p>
        </w:tc>
      </w:tr>
      <w:tr w:rsidR="00B1043E" w14:paraId="690083D9" w14:textId="77777777" w:rsidTr="00C55B01">
        <w:tc>
          <w:tcPr>
            <w:tcW w:w="2552" w:type="dxa"/>
          </w:tcPr>
          <w:p w14:paraId="6C1E264E" w14:textId="02B01FCC" w:rsidR="00B1043E" w:rsidRDefault="00C55B01" w:rsidP="002D6FD0">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〇月〇日　〇～〇時</w:t>
            </w:r>
          </w:p>
        </w:tc>
        <w:tc>
          <w:tcPr>
            <w:tcW w:w="2977" w:type="dxa"/>
          </w:tcPr>
          <w:p w14:paraId="5BB08222" w14:textId="42E4682D" w:rsidR="00B1043E" w:rsidRDefault="00C55B01" w:rsidP="002D6FD0">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〇〇監査役、〇〇課長（防止計画推進担当）</w:t>
            </w:r>
          </w:p>
        </w:tc>
        <w:tc>
          <w:tcPr>
            <w:tcW w:w="4954" w:type="dxa"/>
          </w:tcPr>
          <w:p w14:paraId="1D7D3FAD" w14:textId="77777777" w:rsidR="00B1043E" w:rsidRDefault="00B1043E" w:rsidP="002D6FD0">
            <w:pPr>
              <w:jc w:val="left"/>
              <w:rPr>
                <w:rFonts w:ascii="ＭＳ ゴシック" w:eastAsia="ＭＳ ゴシック" w:hAnsi="ＭＳ ゴシック"/>
                <w:sz w:val="24"/>
                <w:szCs w:val="24"/>
              </w:rPr>
            </w:pPr>
          </w:p>
        </w:tc>
      </w:tr>
      <w:tr w:rsidR="00C55B01" w14:paraId="7FD83167" w14:textId="77777777" w:rsidTr="00C55B01">
        <w:tc>
          <w:tcPr>
            <w:tcW w:w="2552" w:type="dxa"/>
          </w:tcPr>
          <w:p w14:paraId="064B12B1" w14:textId="77777777" w:rsidR="00C55B01" w:rsidRDefault="00C55B01" w:rsidP="002D6FD0">
            <w:pPr>
              <w:jc w:val="left"/>
              <w:rPr>
                <w:rFonts w:ascii="ＭＳ ゴシック" w:eastAsia="ＭＳ ゴシック" w:hAnsi="ＭＳ ゴシック"/>
                <w:sz w:val="24"/>
                <w:szCs w:val="24"/>
              </w:rPr>
            </w:pPr>
          </w:p>
        </w:tc>
        <w:tc>
          <w:tcPr>
            <w:tcW w:w="2977" w:type="dxa"/>
          </w:tcPr>
          <w:p w14:paraId="0918CFEB" w14:textId="77777777" w:rsidR="00C55B01" w:rsidRDefault="00C55B01" w:rsidP="002D6FD0">
            <w:pPr>
              <w:jc w:val="left"/>
              <w:rPr>
                <w:rFonts w:ascii="ＭＳ ゴシック" w:eastAsia="ＭＳ ゴシック" w:hAnsi="ＭＳ ゴシック"/>
                <w:sz w:val="24"/>
                <w:szCs w:val="24"/>
              </w:rPr>
            </w:pPr>
          </w:p>
        </w:tc>
        <w:tc>
          <w:tcPr>
            <w:tcW w:w="4954" w:type="dxa"/>
          </w:tcPr>
          <w:p w14:paraId="3D511550" w14:textId="77777777" w:rsidR="00A31989" w:rsidRDefault="00A31989" w:rsidP="002D6FD0">
            <w:pPr>
              <w:jc w:val="left"/>
              <w:rPr>
                <w:rFonts w:ascii="ＭＳ ゴシック" w:eastAsia="ＭＳ ゴシック" w:hAnsi="ＭＳ ゴシック"/>
                <w:sz w:val="24"/>
                <w:szCs w:val="24"/>
              </w:rPr>
            </w:pPr>
          </w:p>
          <w:p w14:paraId="17ED2604" w14:textId="77777777" w:rsidR="008B267C" w:rsidRDefault="008B267C" w:rsidP="002D6FD0">
            <w:pPr>
              <w:jc w:val="left"/>
              <w:rPr>
                <w:rFonts w:ascii="ＭＳ ゴシック" w:eastAsia="ＭＳ ゴシック" w:hAnsi="ＭＳ ゴシック"/>
                <w:sz w:val="24"/>
                <w:szCs w:val="24"/>
              </w:rPr>
            </w:pPr>
          </w:p>
        </w:tc>
      </w:tr>
    </w:tbl>
    <w:p w14:paraId="17BADB71" w14:textId="77777777" w:rsidR="00B1043E" w:rsidRPr="00843703" w:rsidRDefault="00B1043E" w:rsidP="002D6FD0">
      <w:pPr>
        <w:ind w:left="600" w:hangingChars="250" w:hanging="600"/>
        <w:jc w:val="left"/>
        <w:rPr>
          <w:rFonts w:ascii="ＭＳ ゴシック" w:eastAsia="ＭＳ ゴシック" w:hAnsi="ＭＳ ゴシック"/>
          <w:sz w:val="24"/>
          <w:szCs w:val="24"/>
        </w:rPr>
      </w:pPr>
    </w:p>
    <w:sectPr w:rsidR="00B1043E" w:rsidRPr="00843703" w:rsidSect="00F71D31">
      <w:pgSz w:w="11906" w:h="16838"/>
      <w:pgMar w:top="1134" w:right="567"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D85D9" w14:textId="77777777" w:rsidR="00BE4209" w:rsidRDefault="00BE4209" w:rsidP="00A31989">
      <w:r>
        <w:separator/>
      </w:r>
    </w:p>
  </w:endnote>
  <w:endnote w:type="continuationSeparator" w:id="0">
    <w:p w14:paraId="4D206315" w14:textId="77777777" w:rsidR="00BE4209" w:rsidRDefault="00BE4209" w:rsidP="00A3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A7364" w14:textId="77777777" w:rsidR="00BE4209" w:rsidRDefault="00BE4209" w:rsidP="00A31989">
      <w:r>
        <w:separator/>
      </w:r>
    </w:p>
  </w:footnote>
  <w:footnote w:type="continuationSeparator" w:id="0">
    <w:p w14:paraId="72B8B4E6" w14:textId="77777777" w:rsidR="00BE4209" w:rsidRDefault="00BE4209" w:rsidP="00A31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62482"/>
    <w:multiLevelType w:val="hybridMultilevel"/>
    <w:tmpl w:val="02D4BB66"/>
    <w:lvl w:ilvl="0" w:tplc="137A75F0">
      <w:start w:val="2"/>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3A738A3"/>
    <w:multiLevelType w:val="hybridMultilevel"/>
    <w:tmpl w:val="333004AE"/>
    <w:lvl w:ilvl="0" w:tplc="B8540EE8">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8833AA6"/>
    <w:multiLevelType w:val="hybridMultilevel"/>
    <w:tmpl w:val="04AC8C10"/>
    <w:lvl w:ilvl="0" w:tplc="91FABFD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9C74C0E"/>
    <w:multiLevelType w:val="hybridMultilevel"/>
    <w:tmpl w:val="B4C8FE8C"/>
    <w:lvl w:ilvl="0" w:tplc="2A6E0AD4">
      <w:start w:val="2"/>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12502034">
    <w:abstractNumId w:val="1"/>
  </w:num>
  <w:num w:numId="2" w16cid:durableId="1921063201">
    <w:abstractNumId w:val="2"/>
  </w:num>
  <w:num w:numId="3" w16cid:durableId="690497378">
    <w:abstractNumId w:val="3"/>
  </w:num>
  <w:num w:numId="4" w16cid:durableId="194348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B6A"/>
    <w:rsid w:val="00292AAB"/>
    <w:rsid w:val="002D6FD0"/>
    <w:rsid w:val="00702E0F"/>
    <w:rsid w:val="00720E47"/>
    <w:rsid w:val="00724008"/>
    <w:rsid w:val="00792B6A"/>
    <w:rsid w:val="00797653"/>
    <w:rsid w:val="00837C3D"/>
    <w:rsid w:val="00843703"/>
    <w:rsid w:val="008B267C"/>
    <w:rsid w:val="00A31989"/>
    <w:rsid w:val="00B1043E"/>
    <w:rsid w:val="00B42FA3"/>
    <w:rsid w:val="00BE4209"/>
    <w:rsid w:val="00C55B01"/>
    <w:rsid w:val="00D96070"/>
    <w:rsid w:val="00F71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847B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D31"/>
    <w:pPr>
      <w:ind w:leftChars="400" w:left="840"/>
    </w:pPr>
  </w:style>
  <w:style w:type="paragraph" w:styleId="a4">
    <w:name w:val="Closing"/>
    <w:basedOn w:val="a"/>
    <w:link w:val="a5"/>
    <w:uiPriority w:val="99"/>
    <w:unhideWhenUsed/>
    <w:rsid w:val="002D6FD0"/>
    <w:pPr>
      <w:jc w:val="right"/>
    </w:pPr>
    <w:rPr>
      <w:rFonts w:ascii="ＭＳ ゴシック" w:eastAsia="ＭＳ ゴシック" w:hAnsi="ＭＳ ゴシック"/>
      <w:sz w:val="24"/>
      <w:szCs w:val="24"/>
    </w:rPr>
  </w:style>
  <w:style w:type="character" w:customStyle="1" w:styleId="a5">
    <w:name w:val="結語 (文字)"/>
    <w:basedOn w:val="a0"/>
    <w:link w:val="a4"/>
    <w:uiPriority w:val="99"/>
    <w:rsid w:val="002D6FD0"/>
    <w:rPr>
      <w:rFonts w:ascii="ＭＳ ゴシック" w:eastAsia="ＭＳ ゴシック" w:hAnsi="ＭＳ ゴシック"/>
      <w:sz w:val="24"/>
      <w:szCs w:val="24"/>
    </w:rPr>
  </w:style>
  <w:style w:type="table" w:styleId="a6">
    <w:name w:val="Table Grid"/>
    <w:basedOn w:val="a1"/>
    <w:uiPriority w:val="39"/>
    <w:rsid w:val="002D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31989"/>
    <w:pPr>
      <w:tabs>
        <w:tab w:val="center" w:pos="4252"/>
        <w:tab w:val="right" w:pos="8504"/>
      </w:tabs>
      <w:snapToGrid w:val="0"/>
    </w:pPr>
  </w:style>
  <w:style w:type="character" w:customStyle="1" w:styleId="a8">
    <w:name w:val="ヘッダー (文字)"/>
    <w:basedOn w:val="a0"/>
    <w:link w:val="a7"/>
    <w:uiPriority w:val="99"/>
    <w:rsid w:val="00A31989"/>
  </w:style>
  <w:style w:type="paragraph" w:styleId="a9">
    <w:name w:val="footer"/>
    <w:basedOn w:val="a"/>
    <w:link w:val="aa"/>
    <w:uiPriority w:val="99"/>
    <w:unhideWhenUsed/>
    <w:rsid w:val="00A31989"/>
    <w:pPr>
      <w:tabs>
        <w:tab w:val="center" w:pos="4252"/>
        <w:tab w:val="right" w:pos="8504"/>
      </w:tabs>
      <w:snapToGrid w:val="0"/>
    </w:pPr>
  </w:style>
  <w:style w:type="character" w:customStyle="1" w:styleId="aa">
    <w:name w:val="フッター (文字)"/>
    <w:basedOn w:val="a0"/>
    <w:link w:val="a9"/>
    <w:uiPriority w:val="99"/>
    <w:rsid w:val="00A31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2024-06-13T07:38:00Z</dcterms:created>
  <dcterms:modified xsi:type="dcterms:W3CDTF">2024-06-13T07:38:00Z</dcterms:modified>
</cp:coreProperties>
</file>