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line="360" w:lineRule="exact"/>
        <w:jc w:val="right"/>
        <w:rPr>
          <w:rFonts w:ascii="ＭＳ ゴシック" w:eastAsia="ＭＳ 明朝" w:hAnsi="Century" w:cs="ＭＳ ゴシック"/>
          <w:kern w:val="0"/>
          <w:sz w:val="24"/>
          <w:szCs w:val="24"/>
        </w:rPr>
      </w:pPr>
    </w:p>
    <w:p>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試験研究計画名を記載）」知財合意書（案）（作成例</w:t>
      </w:r>
      <w:r>
        <w:rPr>
          <w:rFonts w:ascii="ＭＳ ゴシック" w:eastAsia="ＭＳ 明朝" w:hAnsi="Century" w:cs="ＭＳ ゴシック"/>
          <w:kern w:val="0"/>
          <w:sz w:val="24"/>
          <w:szCs w:val="24"/>
        </w:rPr>
        <w:t>）</w:t>
      </w:r>
    </w:p>
    <w:p>
      <w:pPr>
        <w:autoSpaceDE w:val="0"/>
        <w:autoSpaceDN w:val="0"/>
        <w:adjustRightInd w:val="0"/>
        <w:spacing w:line="360" w:lineRule="exact"/>
        <w:jc w:val="center"/>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試験研究計画名を記載）」（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五　「コンソーシアム構成員」とは、本研究計画を実施する別紙に記載された者をいう。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〇〇コンソーシアム知財運営委員会の審議内容、議決方法、構成員その他知財運営委員会の運営に関する事項は、別途定める○○コンソーシアム知財運営委員会運営規則によるものとする。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（本研究計画の成果の第三者への開示の事前承認）</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第５条　コンソーシアム構成員は、知財運営委員会の承認を得ることなく、本研究計画の実施により得られた成果をコンソーシアム構成員以外の第三者に対して開示し又は漏洩してはならない。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w:t>
      </w:r>
      <w:r>
        <w:rPr>
          <w:rFonts w:ascii="ＭＳ ゴシック" w:eastAsia="ＭＳ 明朝" w:hAnsi="Century" w:cs="ＭＳ ゴシック" w:hint="eastAsia"/>
          <w:kern w:val="0"/>
          <w:sz w:val="24"/>
          <w:szCs w:val="24"/>
        </w:rPr>
        <w:lastRenderedPageBreak/>
        <w:t>の取決めをすることができる。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の権利存続期間中は、当該存続するフォアグラウンドＩＰについて有効とする。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pPr>
        <w:widowControl/>
        <w:ind w:leftChars="1" w:left="259" w:hangingChars="117" w:hanging="257"/>
        <w:jc w:val="left"/>
        <w:rPr>
          <w:rFonts w:ascii="ＭＳ 明朝" w:eastAsia="ＭＳ 明朝" w:hAnsi="ＭＳ 明朝" w:cs="Times New Roman"/>
          <w:sz w:val="22"/>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24275902">
    <w:abstractNumId w:val="12"/>
  </w:num>
  <w:num w:numId="2" w16cid:durableId="1098982396">
    <w:abstractNumId w:val="7"/>
  </w:num>
  <w:num w:numId="3" w16cid:durableId="1023869876">
    <w:abstractNumId w:val="0"/>
  </w:num>
  <w:num w:numId="4" w16cid:durableId="1673869575">
    <w:abstractNumId w:val="18"/>
  </w:num>
  <w:num w:numId="5" w16cid:durableId="180166517">
    <w:abstractNumId w:val="13"/>
  </w:num>
  <w:num w:numId="6" w16cid:durableId="1816290116">
    <w:abstractNumId w:val="16"/>
  </w:num>
  <w:num w:numId="7" w16cid:durableId="1223759114">
    <w:abstractNumId w:val="9"/>
  </w:num>
  <w:num w:numId="8" w16cid:durableId="392891814">
    <w:abstractNumId w:val="19"/>
  </w:num>
  <w:num w:numId="9" w16cid:durableId="2144035566">
    <w:abstractNumId w:val="11"/>
  </w:num>
  <w:num w:numId="10" w16cid:durableId="1048845482">
    <w:abstractNumId w:val="20"/>
  </w:num>
  <w:num w:numId="11" w16cid:durableId="1990597673">
    <w:abstractNumId w:val="14"/>
  </w:num>
  <w:num w:numId="12" w16cid:durableId="2071880030">
    <w:abstractNumId w:val="8"/>
  </w:num>
  <w:num w:numId="13" w16cid:durableId="1021470980">
    <w:abstractNumId w:val="10"/>
  </w:num>
  <w:num w:numId="14" w16cid:durableId="20590663">
    <w:abstractNumId w:val="5"/>
  </w:num>
  <w:num w:numId="15" w16cid:durableId="2010476454">
    <w:abstractNumId w:val="15"/>
  </w:num>
  <w:num w:numId="16" w16cid:durableId="1812677123">
    <w:abstractNumId w:val="6"/>
  </w:num>
  <w:num w:numId="17" w16cid:durableId="1491873103">
    <w:abstractNumId w:val="17"/>
  </w:num>
  <w:num w:numId="18" w16cid:durableId="1652129478">
    <w:abstractNumId w:val="4"/>
  </w:num>
  <w:num w:numId="19" w16cid:durableId="205602345">
    <w:abstractNumId w:val="3"/>
  </w:num>
  <w:num w:numId="20" w16cid:durableId="2040280611">
    <w:abstractNumId w:val="2"/>
  </w:num>
  <w:num w:numId="21" w16cid:durableId="69272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2023-12-24T23:11:00Z</dcterms:created>
  <dcterms:modified xsi:type="dcterms:W3CDTF">2023-12-24T23:11:00Z</dcterms:modified>
</cp:coreProperties>
</file>