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5452F" w14:textId="77777777" w:rsidR="008F5AF6" w:rsidRDefault="00EA2B7F">
      <w:pPr>
        <w:autoSpaceDE w:val="0"/>
        <w:autoSpaceDN w:val="0"/>
        <w:adjustRightInd w:val="0"/>
        <w:spacing w:line="360" w:lineRule="exact"/>
        <w:jc w:val="righ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別紙４（別添⑤）</w:t>
      </w:r>
    </w:p>
    <w:p w14:paraId="321C1097" w14:textId="77777777" w:rsidR="008F5AF6" w:rsidRDefault="008F5AF6">
      <w:pPr>
        <w:autoSpaceDE w:val="0"/>
        <w:autoSpaceDN w:val="0"/>
        <w:adjustRightInd w:val="0"/>
        <w:spacing w:line="360" w:lineRule="exact"/>
        <w:jc w:val="right"/>
        <w:rPr>
          <w:rFonts w:ascii="ＭＳ ゴシック" w:eastAsia="ＭＳ 明朝" w:hAnsi="Century" w:cs="ＭＳ ゴシック"/>
          <w:kern w:val="0"/>
          <w:sz w:val="24"/>
          <w:szCs w:val="24"/>
        </w:rPr>
      </w:pPr>
    </w:p>
    <w:p w14:paraId="79B535B6" w14:textId="08E17CB1" w:rsidR="008F5AF6" w:rsidRDefault="00EA2B7F">
      <w:pPr>
        <w:autoSpaceDE w:val="0"/>
        <w:autoSpaceDN w:val="0"/>
        <w:adjustRightInd w:val="0"/>
        <w:spacing w:line="360" w:lineRule="exact"/>
        <w:ind w:firstLineChars="200" w:firstLine="48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w:t>
      </w:r>
      <w:bookmarkStart w:id="0" w:name="_Hlk495934864"/>
      <w:r>
        <w:rPr>
          <w:rFonts w:ascii="ＭＳ ゴシック" w:eastAsia="ＭＳ 明朝" w:hAnsi="Century" w:cs="ＭＳ ゴシック" w:hint="eastAsia"/>
          <w:kern w:val="0"/>
          <w:sz w:val="24"/>
          <w:szCs w:val="24"/>
        </w:rPr>
        <w:t>○○事業（</w:t>
      </w:r>
      <w:bookmarkEnd w:id="0"/>
      <w:r>
        <w:rPr>
          <w:rFonts w:ascii="ＭＳ ゴシック" w:eastAsia="ＭＳ 明朝" w:hAnsi="Century" w:cs="ＭＳ ゴシック" w:hint="eastAsia"/>
          <w:kern w:val="0"/>
          <w:sz w:val="24"/>
          <w:szCs w:val="24"/>
        </w:rPr>
        <w:t>●●●研究</w:t>
      </w:r>
      <w:r>
        <w:rPr>
          <w:rFonts w:ascii="ＭＳ ゴシック" w:eastAsia="ＭＳ 明朝" w:hAnsi="Century" w:cs="ＭＳ ゴシック" w:hint="eastAsia"/>
          <w:kern w:val="0"/>
          <w:sz w:val="24"/>
          <w:szCs w:val="24"/>
        </w:rPr>
        <w:t>）」知財合意書（案）（作成例</w:t>
      </w:r>
      <w:r>
        <w:rPr>
          <w:rFonts w:ascii="ＭＳ ゴシック" w:eastAsia="ＭＳ 明朝" w:hAnsi="Century" w:cs="ＭＳ ゴシック"/>
          <w:kern w:val="0"/>
          <w:sz w:val="24"/>
          <w:szCs w:val="24"/>
        </w:rPr>
        <w:t>）</w:t>
      </w:r>
    </w:p>
    <w:p w14:paraId="37DA848C" w14:textId="4FD7F09F" w:rsidR="008F5AF6" w:rsidRPr="00EA2B7F" w:rsidRDefault="00EA2B7F">
      <w:pPr>
        <w:autoSpaceDE w:val="0"/>
        <w:autoSpaceDN w:val="0"/>
        <w:adjustRightInd w:val="0"/>
        <w:spacing w:line="360" w:lineRule="exact"/>
        <w:jc w:val="center"/>
        <w:rPr>
          <w:rFonts w:ascii="ＭＳ ゴシック" w:eastAsia="ＭＳ 明朝" w:hAnsi="Century" w:cs="ＭＳ ゴシック"/>
          <w:kern w:val="0"/>
          <w:sz w:val="24"/>
          <w:szCs w:val="24"/>
        </w:rPr>
      </w:pPr>
      <w:r w:rsidRPr="00EA2B7F">
        <w:rPr>
          <w:rFonts w:ascii="ＭＳ ゴシック" w:eastAsia="ＭＳ 明朝" w:hAnsi="Century" w:cs="ＭＳ ゴシック" w:hint="eastAsia"/>
          <w:color w:val="548DD4" w:themeColor="text2" w:themeTint="99"/>
          <w:kern w:val="0"/>
          <w:sz w:val="24"/>
          <w:szCs w:val="24"/>
        </w:rPr>
        <w:t>※○○事業には事業名を、●●●研究には試験研究計画名を記載</w:t>
      </w:r>
    </w:p>
    <w:p w14:paraId="551BCB65"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（目的）</w:t>
      </w:r>
    </w:p>
    <w:p w14:paraId="2656C80C" w14:textId="44D4B394"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第１条　本合意書は、「○○事業（</w:t>
      </w:r>
      <w:r>
        <w:rPr>
          <w:rFonts w:ascii="ＭＳ ゴシック" w:eastAsia="ＭＳ 明朝" w:hAnsi="Century" w:cs="ＭＳ ゴシック" w:hint="eastAsia"/>
          <w:kern w:val="0"/>
          <w:sz w:val="24"/>
          <w:szCs w:val="24"/>
        </w:rPr>
        <w:t>●●●研究</w:t>
      </w:r>
      <w:r>
        <w:rPr>
          <w:rFonts w:ascii="ＭＳ ゴシック" w:eastAsia="ＭＳ 明朝" w:hAnsi="Century" w:cs="ＭＳ ゴシック" w:hint="eastAsia"/>
          <w:kern w:val="0"/>
          <w:sz w:val="24"/>
          <w:szCs w:val="24"/>
        </w:rPr>
        <w:t>）」（以下「本研究計画」という。）の実施及びその成果の活用のために必要な知的財産の取扱いについて定めることにより、本研究計画を円滑に遂行し、その成果を事業活動において効率的に活用することを目的とする。</w:t>
      </w:r>
    </w:p>
    <w:p w14:paraId="6A452C7A"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7AC84664"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（定義）</w:t>
      </w:r>
    </w:p>
    <w:p w14:paraId="7041771E"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第２条　本合意書において、次に掲げる用語は次の定義によるものとする。</w:t>
      </w:r>
    </w:p>
    <w:p w14:paraId="1A839F6E" w14:textId="77777777" w:rsidR="008F5AF6" w:rsidRDefault="00EA2B7F">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一　「発明等」とは、次に掲げるものをいう。</w:t>
      </w:r>
    </w:p>
    <w:p w14:paraId="4687F73B" w14:textId="77777777" w:rsidR="008F5AF6" w:rsidRDefault="00EA2B7F">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イ　発明</w:t>
      </w:r>
    </w:p>
    <w:p w14:paraId="69247C15" w14:textId="77777777" w:rsidR="008F5AF6" w:rsidRDefault="00EA2B7F">
      <w:pPr>
        <w:autoSpaceDE w:val="0"/>
        <w:autoSpaceDN w:val="0"/>
        <w:adjustRightInd w:val="0"/>
        <w:spacing w:line="360" w:lineRule="exact"/>
        <w:ind w:leftChars="134" w:left="281"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ロ　考案</w:t>
      </w:r>
    </w:p>
    <w:p w14:paraId="37B90FD1" w14:textId="77777777" w:rsidR="008F5AF6" w:rsidRDefault="00EA2B7F">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ハ　意匠の創作</w:t>
      </w:r>
    </w:p>
    <w:p w14:paraId="51A084C4" w14:textId="77777777" w:rsidR="008F5AF6" w:rsidRDefault="00EA2B7F">
      <w:pPr>
        <w:autoSpaceDE w:val="0"/>
        <w:autoSpaceDN w:val="0"/>
        <w:adjustRightInd w:val="0"/>
        <w:spacing w:line="360" w:lineRule="exact"/>
        <w:ind w:leftChars="234" w:left="731"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ニ　半導体集積回路の回路配置に関する法律（昭和６０年法律第４３号）第２条第２項に規定する回路配置の創作</w:t>
      </w:r>
    </w:p>
    <w:p w14:paraId="161223C1" w14:textId="77777777" w:rsidR="008F5AF6" w:rsidRDefault="00EA2B7F">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ホ　種苗法第２条第２項に規定する品種の育成</w:t>
      </w:r>
    </w:p>
    <w:p w14:paraId="50F260B4" w14:textId="77777777" w:rsidR="008F5AF6" w:rsidRDefault="00EA2B7F">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ヘ　著作物の創作</w:t>
      </w:r>
    </w:p>
    <w:p w14:paraId="7D74BF11" w14:textId="77777777" w:rsidR="008F5AF6" w:rsidRDefault="00EA2B7F">
      <w:pPr>
        <w:autoSpaceDE w:val="0"/>
        <w:autoSpaceDN w:val="0"/>
        <w:adjustRightInd w:val="0"/>
        <w:spacing w:line="360" w:lineRule="exact"/>
        <w:ind w:leftChars="235" w:left="776" w:hangingChars="118" w:hanging="283"/>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ト　技術情報のうち秘匿することが可能なものであって、かつ、財産的価値のあるもの（以下「ノウハウ」という。）の案出</w:t>
      </w:r>
    </w:p>
    <w:p w14:paraId="02D2DBAD" w14:textId="77777777" w:rsidR="008F5AF6" w:rsidRDefault="00EA2B7F">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二　「発明者等」とは、発明等をなした者をいう。</w:t>
      </w:r>
    </w:p>
    <w:p w14:paraId="6E422FEC" w14:textId="77777777" w:rsidR="008F5AF6" w:rsidRDefault="00EA2B7F">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三　「知的財産権」とは、次に掲げるものをいう。</w:t>
      </w:r>
    </w:p>
    <w:p w14:paraId="7C3553CA" w14:textId="77777777" w:rsidR="008F5AF6" w:rsidRDefault="00EA2B7F">
      <w:pPr>
        <w:autoSpaceDE w:val="0"/>
        <w:autoSpaceDN w:val="0"/>
        <w:adjustRightInd w:val="0"/>
        <w:spacing w:line="360" w:lineRule="exact"/>
        <w:ind w:leftChars="235" w:left="776" w:hangingChars="118" w:hanging="283"/>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イ　特許権、特許を受ける権利、実用新案権、実用新案登録を受ける権利、意匠権、意匠登録を受ける権利、回路配置利用権、回路配置利用権の設定の</w:t>
      </w:r>
      <w:r>
        <w:rPr>
          <w:rFonts w:ascii="ＭＳ ゴシック" w:eastAsia="ＭＳ 明朝" w:hAnsi="Century" w:cs="ＭＳ ゴシック" w:hint="eastAsia"/>
          <w:kern w:val="0"/>
          <w:sz w:val="24"/>
          <w:szCs w:val="24"/>
        </w:rPr>
        <w:t>登録を受ける権利、育成者権、種苗法（平成１０年法律第８３号）第３条に規定する品種登録を受ける地位及び外国における上記各権利及び地位に相当する権利及び地位</w:t>
      </w:r>
    </w:p>
    <w:p w14:paraId="24DC623F" w14:textId="77777777" w:rsidR="008F5AF6" w:rsidRDefault="00EA2B7F">
      <w:pPr>
        <w:autoSpaceDE w:val="0"/>
        <w:autoSpaceDN w:val="0"/>
        <w:adjustRightInd w:val="0"/>
        <w:spacing w:line="360" w:lineRule="exact"/>
        <w:ind w:leftChars="235" w:left="733"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ロ　著作権（著作権法（昭和４５年法律第４８号）第２１条から第２８条までに規定する全ての権利を含む）及び外国における上記権利に相当する権利（以下「著作権」と総称する。）</w:t>
      </w:r>
    </w:p>
    <w:p w14:paraId="35B1DA16" w14:textId="77777777" w:rsidR="008F5AF6" w:rsidRDefault="00EA2B7F">
      <w:pPr>
        <w:autoSpaceDE w:val="0"/>
        <w:autoSpaceDN w:val="0"/>
        <w:adjustRightInd w:val="0"/>
        <w:spacing w:line="360" w:lineRule="exact"/>
        <w:ind w:firstLineChars="218" w:firstLine="523"/>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ハ　ノウハウを使用する権利</w:t>
      </w:r>
    </w:p>
    <w:p w14:paraId="0308579C" w14:textId="77777777" w:rsidR="008F5AF6" w:rsidRDefault="00EA2B7F">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四　知的財産権の「実施」とは、特許法（昭和３４年法律第１２１号）第２条第３項に定める行為、実用新案法（昭和３４年法律第１２３号）第２条第３項に定める行為、意匠法（昭和３４年法律第１２５号）第２条第３項に定める行為、半導体集積回路の回路配置に関する法律第２条第３項に定める行為、種苗法第２条第５項に定める行為、著作権法第２１条から第２８条までに規定する全ての権利に</w:t>
      </w:r>
      <w:r>
        <w:rPr>
          <w:rFonts w:ascii="ＭＳ ゴシック" w:eastAsia="ＭＳ 明朝" w:hAnsi="Century" w:cs="ＭＳ ゴシック" w:hint="eastAsia"/>
          <w:kern w:val="0"/>
          <w:sz w:val="24"/>
          <w:szCs w:val="24"/>
        </w:rPr>
        <w:lastRenderedPageBreak/>
        <w:t>基づき著作物を利用する行為並びにノウハウを使用する行為をいう。</w:t>
      </w:r>
    </w:p>
    <w:p w14:paraId="7215B870" w14:textId="77777777" w:rsidR="008F5AF6" w:rsidRDefault="00EA2B7F">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五　「コンソーシアム構成員」とは、本研究計画を実施する別紙に記載された者をいう。</w:t>
      </w:r>
    </w:p>
    <w:p w14:paraId="46518671" w14:textId="77777777" w:rsidR="008F5AF6" w:rsidRDefault="00EA2B7F">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 xml:space="preserve">六　</w:t>
      </w:r>
      <w:r>
        <w:rPr>
          <w:rFonts w:ascii="ＭＳ ゴシック" w:eastAsia="ＭＳ 明朝" w:hAnsi="Century" w:cs="ＭＳ ゴシック" w:hint="eastAsia"/>
          <w:kern w:val="0"/>
          <w:sz w:val="24"/>
          <w:szCs w:val="24"/>
        </w:rPr>
        <w:t>「研究開発従事者」とは、本研究計画において実施する研究開発に従事する者をいう。</w:t>
      </w:r>
    </w:p>
    <w:p w14:paraId="409F813B"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422D88A7"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（〇〇コンソーシアム知財運営委員会）</w:t>
      </w:r>
    </w:p>
    <w:p w14:paraId="67E04ECD"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第３条　本研究計画における知的財産の取扱いを適切に行うため、〇〇コンソーシアム知財運営委員会を設置する。</w:t>
      </w:r>
    </w:p>
    <w:p w14:paraId="233BEA0A"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〇〇コンソーシアム知財運営委員会は、本研究計画における知的財産の取扱いについて、オープン・クローズ戦略を踏まえて権利化（国外出願も含む）、秘匿化、公知化、標準化等の方針を審議・決定するとともに、知的財産の活用方針等に係る調整を行う。</w:t>
      </w:r>
    </w:p>
    <w:p w14:paraId="4C8E33C2"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３　〇〇コンソーシアム知財運営委員会の審議内容、</w:t>
      </w:r>
      <w:r>
        <w:rPr>
          <w:rFonts w:ascii="ＭＳ ゴシック" w:eastAsia="ＭＳ 明朝" w:hAnsi="Century" w:cs="ＭＳ ゴシック" w:hint="eastAsia"/>
          <w:kern w:val="0"/>
          <w:sz w:val="24"/>
          <w:szCs w:val="24"/>
        </w:rPr>
        <w:t>議決方法、構成員その他知財運営委員会の運営に関する事項は、別途定める○○コンソーシアム知財運営委員会運営規則によるものとする。</w:t>
      </w:r>
    </w:p>
    <w:p w14:paraId="0664872D"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59A279D3"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（秘密保持）</w:t>
      </w:r>
    </w:p>
    <w:p w14:paraId="4928817F"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第４条　コンソーシアム構成員は、本研究計画に関して他のコンソーシアム構成員（その研究開発従事者を含む。）から開示され、かつ開示の際に秘密である旨明示された技術上の一切の情報を、秘密として保持し、当該情報開示者の承諾を得ない限り、研究開発従事者以外の第三者に対して開示し又は漏洩してはならない。また、開示を受けたコンソーシアム構成員は、当該情報を本研究計画の実施以外の目</w:t>
      </w:r>
      <w:r>
        <w:rPr>
          <w:rFonts w:ascii="ＭＳ ゴシック" w:eastAsia="ＭＳ 明朝" w:hAnsi="Century" w:cs="ＭＳ ゴシック" w:hint="eastAsia"/>
          <w:kern w:val="0"/>
          <w:sz w:val="24"/>
          <w:szCs w:val="24"/>
        </w:rPr>
        <w:t>的で使用してはならない。ただし、開示を受けたコンソーシアム構成員が、当該情報が次のいずれかに該当することを立証できる場合についてはこの限りでない。</w:t>
      </w:r>
    </w:p>
    <w:p w14:paraId="31FCC9EB" w14:textId="77777777" w:rsidR="008F5AF6" w:rsidRDefault="00EA2B7F">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一　開示を受ける際、既に公知となっていたもの</w:t>
      </w:r>
    </w:p>
    <w:p w14:paraId="49DAFB9C" w14:textId="77777777" w:rsidR="008F5AF6" w:rsidRDefault="00EA2B7F">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二　開示を受ける際、自己が正当に保有していたもの</w:t>
      </w:r>
    </w:p>
    <w:p w14:paraId="70F37532" w14:textId="77777777" w:rsidR="008F5AF6" w:rsidRDefault="00EA2B7F">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三　開示を受けた後、自己の責によらずに公知となったもの</w:t>
      </w:r>
    </w:p>
    <w:p w14:paraId="46E40416" w14:textId="77777777" w:rsidR="008F5AF6" w:rsidRDefault="00EA2B7F">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四　開示を受けた後、正当な権利を有する第三者より秘密保持義務を負うことなく開示を受けたもの</w:t>
      </w:r>
    </w:p>
    <w:p w14:paraId="347DA2D3" w14:textId="77777777" w:rsidR="008F5AF6" w:rsidRDefault="00EA2B7F">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五　開示を受けた情報によらずに、自己が独自に入手し、または創出したもの</w:t>
      </w:r>
    </w:p>
    <w:p w14:paraId="52DC4288"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コンソーシアム構成員は、自己に属する研究開発従事者が、研究開発従事者でなくなった後も含め、本条及び次条に規定する義務と同様の義務を、当該研究開発従事者に遵守させなければならない。</w:t>
      </w:r>
    </w:p>
    <w:p w14:paraId="66F138FD"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３　前２項に定めるもののほか、本研究計画における秘密漏洩防止及び技術情報流出防止のために必要な措置については、〇〇コンソーシアム知財運営委員会において決定するものとする。</w:t>
      </w:r>
    </w:p>
    <w:p w14:paraId="4F243D17"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3C488CDF"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lastRenderedPageBreak/>
        <w:t>（本研究計画の成果の第三者への開示の事前承認）</w:t>
      </w:r>
    </w:p>
    <w:p w14:paraId="465127F8"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第５条　コンソーシアム構成員は、知</w:t>
      </w:r>
      <w:r>
        <w:rPr>
          <w:rFonts w:ascii="ＭＳ ゴシック" w:eastAsia="ＭＳ 明朝" w:hAnsi="Century" w:cs="ＭＳ ゴシック" w:hint="eastAsia"/>
          <w:kern w:val="0"/>
          <w:sz w:val="24"/>
          <w:szCs w:val="24"/>
        </w:rPr>
        <w:t>財運営委員会の承認を得ることなく、本研究計画の実施により得られた成果をコンソーシアム構成員以外の第三者に対して開示し又は漏洩してはならない。</w:t>
      </w:r>
    </w:p>
    <w:p w14:paraId="32773095"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218F95A7"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（発明等の成果の届出及び権利化等方針の決定手続）</w:t>
      </w:r>
    </w:p>
    <w:p w14:paraId="1C6CF320"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第６条　コンソーシアム構成員は、自己に属する研究開発従事者が、本研究計画の実施により発明等をなした場合には、直ちに〇〇コンソーシアム知財運営委員会に対し、発明者等及び発明等の成果の内容を届け出なければならない。</w:t>
      </w:r>
    </w:p>
    <w:p w14:paraId="1AB7C2BB"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〇〇コンソーシアム知財運営委員会は、前項に基づく届出を受けた場合、別途定める〇〇コンソーシアム知財運営委員会運営規則に基づき、当該発明等の成果について、出願により権利化し又は秘匿する必要があるか否かの評価、出願により権利化する場合にあっては出願対象国、秘匿する場合にあっては秘匿期間等について審議</w:t>
      </w:r>
      <w:r>
        <w:rPr>
          <w:rFonts w:ascii="ＭＳ ゴシック" w:eastAsia="ＭＳ 明朝" w:hAnsi="Century" w:cs="ＭＳ ゴシック" w:hint="eastAsia"/>
          <w:kern w:val="0"/>
          <w:sz w:val="24"/>
          <w:szCs w:val="24"/>
        </w:rPr>
        <w:t>し、決定する。</w:t>
      </w:r>
    </w:p>
    <w:p w14:paraId="16B64AF1"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6A65AC35"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（出願による権利化）</w:t>
      </w:r>
    </w:p>
    <w:p w14:paraId="598C50FB"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第７条　コンソーシアム構成員は、本研究計画の成果を出願により権利化するに当たっては、海外においても市場展開が見込まれるのであれば、その市場規模や他社との競合状況等を勘案して権利化が必要と判断される国においても権利化することを原則とする。</w:t>
      </w:r>
    </w:p>
    <w:p w14:paraId="770BA451"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〇〇コンソーシアム知財運営委員会は、コンソーシアム構成員と協議の上、コンソーシアム構成員が出願による権利化を行わないと判断した国において出願する権利を他のコンソーシアム構成員に譲渡させることができる。</w:t>
      </w:r>
    </w:p>
    <w:p w14:paraId="14ABB04A"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３　本研究計画の成果の出願か</w:t>
      </w:r>
      <w:r>
        <w:rPr>
          <w:rFonts w:ascii="ＭＳ ゴシック" w:eastAsia="ＭＳ 明朝" w:hAnsi="Century" w:cs="ＭＳ ゴシック" w:hint="eastAsia"/>
          <w:kern w:val="0"/>
          <w:sz w:val="24"/>
          <w:szCs w:val="24"/>
        </w:rPr>
        <w:t>ら登録の前までに要する費用は委託経費（間接経費）から支出できるものとし、登録及びそれ以降（維持管理等）の費用は、原則として出願人が負担するものとする。</w:t>
      </w:r>
    </w:p>
    <w:p w14:paraId="1996B9E9"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4666EDDF"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（本研究計画の実施により得られた知的財産権の帰属）</w:t>
      </w:r>
    </w:p>
    <w:p w14:paraId="75C04FC3"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第８条　本研究計画の実施により得られた知的財産権（以下「フォアグラウンドＩＰ」という。）は、発明者等が属するコンソーシアム構成員の職務発明規程等に基づき当該コンソーシアム構成員に帰属させるものとする。</w:t>
      </w:r>
    </w:p>
    <w:p w14:paraId="6DC0DE2E"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発明者等の所属するコンソーシアム構成員が二以上に亘る場合にあっては、各コンソーシアム構成員の持分は、</w:t>
      </w:r>
      <w:r>
        <w:rPr>
          <w:rFonts w:ascii="ＭＳ ゴシック" w:eastAsia="ＭＳ 明朝" w:hAnsi="Century" w:cs="ＭＳ ゴシック" w:hint="eastAsia"/>
          <w:kern w:val="0"/>
          <w:sz w:val="24"/>
          <w:szCs w:val="24"/>
        </w:rPr>
        <w:t>当該コンソーシアム構成員間で協議して決定するものとする。</w:t>
      </w:r>
    </w:p>
    <w:p w14:paraId="1B186BBF"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12EA3A8F"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（共有するフォアグラウンドＩＰの取扱い）</w:t>
      </w:r>
    </w:p>
    <w:p w14:paraId="3ED52DF5"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第９条　コンソーシアム構成員は、他のコンソーシアム構成員と共有するフォアグラウンドＩＰについて、無償にて自己実施できるものとする。ただし、フォアグラウ</w:t>
      </w:r>
      <w:r>
        <w:rPr>
          <w:rFonts w:ascii="ＭＳ ゴシック" w:eastAsia="ＭＳ 明朝" w:hAnsi="Century" w:cs="ＭＳ ゴシック" w:hint="eastAsia"/>
          <w:kern w:val="0"/>
          <w:sz w:val="24"/>
          <w:szCs w:val="24"/>
        </w:rPr>
        <w:lastRenderedPageBreak/>
        <w:t>ンド</w:t>
      </w:r>
      <w:r>
        <w:rPr>
          <w:rFonts w:ascii="ＭＳ ゴシック" w:eastAsia="ＭＳ 明朝" w:hAnsi="Century" w:cs="ＭＳ ゴシック" w:hint="eastAsia"/>
          <w:kern w:val="0"/>
          <w:sz w:val="24"/>
          <w:szCs w:val="24"/>
        </w:rPr>
        <w:t>IP</w:t>
      </w:r>
      <w:r>
        <w:rPr>
          <w:rFonts w:ascii="ＭＳ ゴシック" w:eastAsia="ＭＳ 明朝" w:hAnsi="Century" w:cs="ＭＳ ゴシック" w:hint="eastAsia"/>
          <w:kern w:val="0"/>
          <w:sz w:val="24"/>
          <w:szCs w:val="24"/>
        </w:rPr>
        <w:t>の共有権者に当該発明を実施する手段を有さない者が含まれる場合は、別段の取決めをすることができる。</w:t>
      </w:r>
    </w:p>
    <w:p w14:paraId="1350D7B7"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1F703471"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（知的財産権の実施許諾）</w:t>
      </w:r>
    </w:p>
    <w:p w14:paraId="2E9885EE"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第１０条　コンソーシアム構成員は、自己が保有する知的財産権（フォアグラウンドＩＰ以外の知的財産権を含む。以下本条において同じ。</w:t>
      </w:r>
      <w:r>
        <w:rPr>
          <w:rFonts w:ascii="ＭＳ ゴシック" w:eastAsia="ＭＳ 明朝" w:hAnsi="Century" w:cs="ＭＳ ゴシック" w:hint="eastAsia"/>
          <w:kern w:val="0"/>
          <w:sz w:val="24"/>
          <w:szCs w:val="24"/>
        </w:rPr>
        <w:t>）について、委託期間中における他のコンソーシアム構成員による本研究計画内での研究開発活動に対しては、当該知的財産権を行使しないものとし、本研究計画の円滑な遂行に協力するものとする。ただし、コンソーシアム構成員間で有償により実施許諾すること等の別段の取決めがある場合はこの限りでない。</w:t>
      </w:r>
    </w:p>
    <w:p w14:paraId="2C56BBC0"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前項の規定は、コンソーシアム構成員が、保有するノウハウを他のコンソーシアム構成員に対して開示することを義務づけるものではない。</w:t>
      </w:r>
    </w:p>
    <w:p w14:paraId="166D88BF"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0323D29E"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（フォアグラウンドＩＰの移転先への義務の承継）</w:t>
      </w:r>
    </w:p>
    <w:p w14:paraId="1053B8F7"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第１１条　コンソーシアム構成員は、フォアグラウ</w:t>
      </w:r>
      <w:r>
        <w:rPr>
          <w:rFonts w:ascii="ＭＳ ゴシック" w:eastAsia="ＭＳ 明朝" w:hAnsi="Century" w:cs="ＭＳ ゴシック" w:hint="eastAsia"/>
          <w:kern w:val="0"/>
          <w:sz w:val="24"/>
          <w:szCs w:val="24"/>
        </w:rPr>
        <w:t>ンドＩＰの移転を行うときは、第７条から本条までの規定により課されている義務を負うよう当該知的財産権の移転先に約させなければならない。</w:t>
      </w:r>
    </w:p>
    <w:p w14:paraId="76EB8CBC"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4582F132"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（本研究計画から脱退したコンソーシアム構成員の取扱い）</w:t>
      </w:r>
    </w:p>
    <w:p w14:paraId="4B6BF064"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第１２条　コンソーシアム構成員は、本コンソーシアムから脱退した場合においても、本合意書により自己に課された義務を負うものとする。</w:t>
      </w:r>
    </w:p>
    <w:p w14:paraId="06F21562"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102AF70B"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（協議）</w:t>
      </w:r>
    </w:p>
    <w:p w14:paraId="5B541B70"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第１３条　本合意書の解釈及びその他の事項につき疑義が生じたとき並びに本合意書にない事項について定める必要が生じたときは、〇〇コンソーシアム知財運営委員会において審議し、決定するものとする。</w:t>
      </w:r>
    </w:p>
    <w:p w14:paraId="44AD8B9A"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50D16CB5"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（本合意書の改訂）</w:t>
      </w:r>
    </w:p>
    <w:p w14:paraId="0D444CD3"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第１４条　〇〇コンソーシアム知財運営委員会は、全てのコンソーシアム構成員による同意を得て本合意書の改訂を行うことができる。</w:t>
      </w:r>
    </w:p>
    <w:p w14:paraId="1043F1CE"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〇〇コンソーシアム知財運営委員会は、本合意書の改訂を行った場合は、速やかに生研支援センターに報告するものとする。</w:t>
      </w:r>
    </w:p>
    <w:p w14:paraId="19A01353"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2D12266E"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（有効期間及び残存条項）</w:t>
      </w:r>
    </w:p>
    <w:p w14:paraId="2C59042F"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第１５条　本合意書は、○年○月</w:t>
      </w:r>
      <w:r>
        <w:rPr>
          <w:rFonts w:ascii="ＭＳ ゴシック" w:eastAsia="ＭＳ 明朝" w:hAnsi="Century" w:cs="ＭＳ ゴシック" w:hint="eastAsia"/>
          <w:kern w:val="0"/>
          <w:sz w:val="24"/>
          <w:szCs w:val="24"/>
        </w:rPr>
        <w:t>○日より発効し、事業期間の終了後○年経過するまでは有効とする。</w:t>
      </w:r>
    </w:p>
    <w:p w14:paraId="6E0237B8"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前項の規定にかかわらず、第４条の規定は、情報開示者が秘匿すべきとして明示した期間中は有効とし、第７条から第１２条までの規定は、フォアグラウンドＩＰ</w:t>
      </w:r>
    </w:p>
    <w:p w14:paraId="662073F8" w14:textId="77777777" w:rsidR="008F5AF6" w:rsidRDefault="00EA2B7F">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lastRenderedPageBreak/>
        <w:t>の権利存続期間中は、当該存続するフォアグラウンドＩＰについて有効とする。</w:t>
      </w:r>
    </w:p>
    <w:p w14:paraId="060DE11E"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5D81DE37"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（本合意書と他の契約書との関係）</w:t>
      </w:r>
    </w:p>
    <w:p w14:paraId="5A36C529" w14:textId="77777777" w:rsidR="008F5AF6" w:rsidRDefault="00EA2B7F">
      <w:pPr>
        <w:autoSpaceDE w:val="0"/>
        <w:autoSpaceDN w:val="0"/>
        <w:adjustRightInd w:val="0"/>
        <w:spacing w:line="360" w:lineRule="exact"/>
        <w:ind w:leftChars="1" w:left="283" w:hangingChars="117" w:hanging="281"/>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第１６条　本合意書と本研究計画を進めるために当該機関が参加するコンソーシアム代表機関と国立研究開発法人農業・食品産業技術総合研究機構</w:t>
      </w:r>
      <w:r>
        <w:rPr>
          <w:rFonts w:ascii="ＭＳ ゴシック" w:eastAsia="ＭＳ 明朝" w:hAnsi="Century" w:cs="ＭＳ ゴシック" w:hint="eastAsia"/>
          <w:kern w:val="0"/>
          <w:sz w:val="24"/>
          <w:szCs w:val="24"/>
        </w:rPr>
        <w:t xml:space="preserve"> </w:t>
      </w:r>
      <w:r>
        <w:rPr>
          <w:rFonts w:ascii="ＭＳ ゴシック" w:eastAsia="ＭＳ 明朝" w:hAnsi="Century" w:cs="ＭＳ ゴシック" w:hint="eastAsia"/>
          <w:kern w:val="0"/>
          <w:sz w:val="24"/>
          <w:szCs w:val="24"/>
        </w:rPr>
        <w:t>生物系特定産業技術研究支援センターとの間で締結された</w:t>
      </w:r>
      <w:r>
        <w:rPr>
          <w:rFonts w:ascii="ＭＳ ゴシック" w:eastAsia="ＭＳ 明朝" w:hAnsi="Century" w:cs="ＭＳ ゴシック" w:hint="eastAsia"/>
          <w:kern w:val="0"/>
          <w:sz w:val="24"/>
          <w:szCs w:val="24"/>
        </w:rPr>
        <w:t>委託試験研究契約書（以下「委託試験研究契約書」という）との間に齟齬が生じた場合は、前項の規定にかかわらず、委託試験研究契約書で定めた規定のうち知的財産の取扱い及び守秘義務を優先するものとする。</w:t>
      </w:r>
    </w:p>
    <w:p w14:paraId="0236A64B"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05962A0C" w14:textId="77777777" w:rsidR="008F5AF6" w:rsidRDefault="00EA2B7F">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本合意書が有効であることの証として本書○○通を作成し、本研究の当事者であるコンソーシアム構成員がそれぞれ記名捺印の上１通を保有する。</w:t>
      </w:r>
    </w:p>
    <w:p w14:paraId="6CD7B493"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2A374E4D"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令和○年○月○日</w:t>
      </w:r>
    </w:p>
    <w:p w14:paraId="26C3A1B0"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3A1E9BE1"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（住所）</w:t>
      </w:r>
    </w:p>
    <w:p w14:paraId="434ED065"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（法人名）</w:t>
      </w:r>
    </w:p>
    <w:p w14:paraId="419D7B5F"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（代表者氏名）印</w:t>
      </w:r>
    </w:p>
    <w:p w14:paraId="5192CCB1"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07C392B2"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（住所）</w:t>
      </w:r>
    </w:p>
    <w:p w14:paraId="74DF7BD2"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（法人名）</w:t>
      </w:r>
    </w:p>
    <w:p w14:paraId="3C9E1A3B"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（代表者氏名）印</w:t>
      </w:r>
    </w:p>
    <w:p w14:paraId="1861157D"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5F821DE5"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1DC1D0F5" w14:textId="77777777" w:rsidR="008F5AF6" w:rsidRDefault="00EA2B7F">
      <w:pPr>
        <w:widowControl/>
        <w:ind w:leftChars="1" w:left="259" w:hangingChars="117" w:hanging="257"/>
        <w:jc w:val="left"/>
        <w:rPr>
          <w:rFonts w:ascii="ＭＳ 明朝" w:eastAsia="ＭＳ 明朝" w:hAnsi="ＭＳ 明朝" w:cs="Times New Roman"/>
          <w:sz w:val="22"/>
        </w:rPr>
      </w:pPr>
      <w:r>
        <w:rPr>
          <w:rFonts w:ascii="ＭＳ 明朝" w:eastAsia="ＭＳ 明朝" w:hAnsi="ＭＳ 明朝" w:cs="Times New Roman" w:hint="eastAsia"/>
          <w:sz w:val="22"/>
        </w:rPr>
        <w:t>※知財合意書をコンソーシアム規約等の中に組み入れて作成するなど、単独で作成しない場合は、上記のコンソーシアム構成員の住所、法人名、代表者名及び印は不要です。</w:t>
      </w:r>
    </w:p>
    <w:p w14:paraId="2F79F6A9" w14:textId="77777777" w:rsidR="008F5AF6" w:rsidRDefault="008F5AF6">
      <w:pPr>
        <w:widowControl/>
        <w:ind w:leftChars="1" w:left="259" w:hangingChars="117" w:hanging="257"/>
        <w:jc w:val="left"/>
        <w:rPr>
          <w:rFonts w:ascii="ＭＳ 明朝" w:eastAsia="ＭＳ 明朝" w:hAnsi="ＭＳ 明朝" w:cs="Times New Roman"/>
          <w:sz w:val="22"/>
        </w:rPr>
      </w:pPr>
    </w:p>
    <w:p w14:paraId="74F878F3" w14:textId="77777777" w:rsidR="008F5AF6" w:rsidRDefault="00EA2B7F">
      <w:pPr>
        <w:widowControl/>
        <w:ind w:leftChars="1" w:left="259" w:hangingChars="117" w:hanging="257"/>
        <w:jc w:val="left"/>
        <w:rPr>
          <w:rFonts w:ascii="ＭＳ 明朝" w:eastAsia="ＭＳ 明朝" w:hAnsi="ＭＳ 明朝" w:cs="Times New Roman"/>
          <w:sz w:val="22"/>
        </w:rPr>
      </w:pPr>
      <w:r>
        <w:rPr>
          <w:rFonts w:ascii="ＭＳ 明朝" w:eastAsia="ＭＳ 明朝" w:hAnsi="ＭＳ 明朝" w:cs="Times New Roman" w:hint="eastAsia"/>
          <w:sz w:val="22"/>
        </w:rPr>
        <w:t>※知財合意書は、本作成例を参考にし、生研支援センターが定める試験研究委託契約書を逸脱しない範囲で各コンソーシアムの実情に合わせて内容を検討した上で作成してください。</w:t>
      </w:r>
    </w:p>
    <w:sectPr w:rsidR="008F5AF6">
      <w:footerReference w:type="default" r:id="rId8"/>
      <w:type w:val="continuous"/>
      <w:pgSz w:w="11906" w:h="16838" w:code="9"/>
      <w:pgMar w:top="1418" w:right="1418" w:bottom="1418" w:left="1418" w:header="851" w:footer="680" w:gutter="0"/>
      <w:pgNumType w:start="1"/>
      <w:cols w:space="425"/>
      <w:docGrid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430AC" w14:textId="77777777" w:rsidR="008F5AF6" w:rsidRDefault="00EA2B7F">
      <w:r>
        <w:separator/>
      </w:r>
    </w:p>
  </w:endnote>
  <w:endnote w:type="continuationSeparator" w:id="0">
    <w:p w14:paraId="6BC7A945" w14:textId="77777777" w:rsidR="008F5AF6" w:rsidRDefault="00EA2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06EC" w14:textId="77777777" w:rsidR="008F5AF6" w:rsidRDefault="008F5AF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4EE05" w14:textId="77777777" w:rsidR="008F5AF6" w:rsidRDefault="00EA2B7F">
      <w:r>
        <w:separator/>
      </w:r>
    </w:p>
  </w:footnote>
  <w:footnote w:type="continuationSeparator" w:id="0">
    <w:p w14:paraId="398C221D" w14:textId="77777777" w:rsidR="008F5AF6" w:rsidRDefault="00EA2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9pt" o:bullet="t">
        <v:imagedata r:id="rId1" o:title="BD21295_"/>
      </v:shape>
    </w:pict>
  </w:numPicBullet>
  <w:abstractNum w:abstractNumId="0" w15:restartNumberingAfterBreak="0">
    <w:nsid w:val="066037FB"/>
    <w:multiLevelType w:val="hybridMultilevel"/>
    <w:tmpl w:val="C6E6E4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A7655"/>
    <w:multiLevelType w:val="hybridMultilevel"/>
    <w:tmpl w:val="DC6A48A6"/>
    <w:lvl w:ilvl="0" w:tplc="8FB21C16">
      <w:start w:val="1"/>
      <w:numFmt w:val="decimalEnclosedCircle"/>
      <w:lvlText w:val="%1"/>
      <w:lvlJc w:val="left"/>
      <w:pPr>
        <w:ind w:left="460" w:hanging="360"/>
      </w:pPr>
      <w:rPr>
        <w:rFonts w:cs="HG丸ｺﾞｼｯｸM-PRO" w:hint="default"/>
        <w:color w:val="FFFFFF"/>
        <w:w w:val="95"/>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0E395DB8"/>
    <w:multiLevelType w:val="hybridMultilevel"/>
    <w:tmpl w:val="DF58C3EC"/>
    <w:lvl w:ilvl="0" w:tplc="C5AE20C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0512F7"/>
    <w:multiLevelType w:val="hybridMultilevel"/>
    <w:tmpl w:val="8508E27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264776"/>
    <w:multiLevelType w:val="hybridMultilevel"/>
    <w:tmpl w:val="5E1010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DD7962"/>
    <w:multiLevelType w:val="hybridMultilevel"/>
    <w:tmpl w:val="E29E8AB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33BC0183"/>
    <w:multiLevelType w:val="hybridMultilevel"/>
    <w:tmpl w:val="6066998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925BC5"/>
    <w:multiLevelType w:val="hybridMultilevel"/>
    <w:tmpl w:val="DF9AA3F4"/>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A236CD"/>
    <w:multiLevelType w:val="hybridMultilevel"/>
    <w:tmpl w:val="41E2EFA2"/>
    <w:lvl w:ilvl="0" w:tplc="FEBE8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09521A"/>
    <w:multiLevelType w:val="hybridMultilevel"/>
    <w:tmpl w:val="AFAAA47C"/>
    <w:lvl w:ilvl="0" w:tplc="5FD4C92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AC752A"/>
    <w:multiLevelType w:val="hybridMultilevel"/>
    <w:tmpl w:val="39389758"/>
    <w:lvl w:ilvl="0" w:tplc="CB3E9FD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45256A4C"/>
    <w:multiLevelType w:val="hybridMultilevel"/>
    <w:tmpl w:val="581A42C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4977401"/>
    <w:multiLevelType w:val="hybridMultilevel"/>
    <w:tmpl w:val="7C344DA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3D42AA"/>
    <w:multiLevelType w:val="hybridMultilevel"/>
    <w:tmpl w:val="1C1E2D9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1A3983"/>
    <w:multiLevelType w:val="hybridMultilevel"/>
    <w:tmpl w:val="0B60B8E0"/>
    <w:lvl w:ilvl="0" w:tplc="0F0A44A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5535F99"/>
    <w:multiLevelType w:val="hybridMultilevel"/>
    <w:tmpl w:val="0132225A"/>
    <w:lvl w:ilvl="0" w:tplc="7C52C87E">
      <w:start w:val="1"/>
      <w:numFmt w:val="decimalFullWidth"/>
      <w:lvlText w:val="（注%1）"/>
      <w:lvlJc w:val="left"/>
      <w:pPr>
        <w:ind w:left="1290" w:hanging="108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9A7696A"/>
    <w:multiLevelType w:val="hybridMultilevel"/>
    <w:tmpl w:val="AD96F8C8"/>
    <w:lvl w:ilvl="0" w:tplc="04090009">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7" w15:restartNumberingAfterBreak="0">
    <w:nsid w:val="6CF00A0F"/>
    <w:multiLevelType w:val="hybridMultilevel"/>
    <w:tmpl w:val="41EAFD7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D5770B"/>
    <w:multiLevelType w:val="hybridMultilevel"/>
    <w:tmpl w:val="F3EA0A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56D3170"/>
    <w:multiLevelType w:val="hybridMultilevel"/>
    <w:tmpl w:val="B2561A0C"/>
    <w:lvl w:ilvl="0" w:tplc="F010353C">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C797969"/>
    <w:multiLevelType w:val="hybridMultilevel"/>
    <w:tmpl w:val="C7582B10"/>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092195492">
    <w:abstractNumId w:val="12"/>
  </w:num>
  <w:num w:numId="2" w16cid:durableId="2125423917">
    <w:abstractNumId w:val="7"/>
  </w:num>
  <w:num w:numId="3" w16cid:durableId="558246626">
    <w:abstractNumId w:val="0"/>
  </w:num>
  <w:num w:numId="4" w16cid:durableId="1189104523">
    <w:abstractNumId w:val="18"/>
  </w:num>
  <w:num w:numId="5" w16cid:durableId="1689942708">
    <w:abstractNumId w:val="13"/>
  </w:num>
  <w:num w:numId="6" w16cid:durableId="1731690053">
    <w:abstractNumId w:val="16"/>
  </w:num>
  <w:num w:numId="7" w16cid:durableId="1680233991">
    <w:abstractNumId w:val="9"/>
  </w:num>
  <w:num w:numId="8" w16cid:durableId="1803379848">
    <w:abstractNumId w:val="19"/>
  </w:num>
  <w:num w:numId="9" w16cid:durableId="1700662373">
    <w:abstractNumId w:val="11"/>
  </w:num>
  <w:num w:numId="10" w16cid:durableId="340595235">
    <w:abstractNumId w:val="20"/>
  </w:num>
  <w:num w:numId="11" w16cid:durableId="1855194678">
    <w:abstractNumId w:val="14"/>
  </w:num>
  <w:num w:numId="12" w16cid:durableId="767239292">
    <w:abstractNumId w:val="8"/>
  </w:num>
  <w:num w:numId="13" w16cid:durableId="611788305">
    <w:abstractNumId w:val="10"/>
  </w:num>
  <w:num w:numId="14" w16cid:durableId="186916685">
    <w:abstractNumId w:val="5"/>
  </w:num>
  <w:num w:numId="15" w16cid:durableId="840894433">
    <w:abstractNumId w:val="15"/>
  </w:num>
  <w:num w:numId="16" w16cid:durableId="725178867">
    <w:abstractNumId w:val="6"/>
  </w:num>
  <w:num w:numId="17" w16cid:durableId="939264188">
    <w:abstractNumId w:val="17"/>
  </w:num>
  <w:num w:numId="18" w16cid:durableId="1098284564">
    <w:abstractNumId w:val="4"/>
  </w:num>
  <w:num w:numId="19" w16cid:durableId="704331649">
    <w:abstractNumId w:val="3"/>
  </w:num>
  <w:num w:numId="20" w16cid:durableId="1112356224">
    <w:abstractNumId w:val="2"/>
  </w:num>
  <w:num w:numId="21" w16cid:durableId="1328098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rawingGridHorizontalSpacing w:val="108"/>
  <w:drawingGridVerticalSpacing w:val="333"/>
  <w:displayHorizontalDrawingGridEvery w:val="0"/>
  <w:characterSpacingControl w:val="compressPunctuationAndJapaneseKana"/>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AF6"/>
    <w:rsid w:val="008F5AF6"/>
    <w:rsid w:val="00EA2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2"/>
    </o:shapelayout>
  </w:shapeDefaults>
  <w:decimalSymbol w:val="."/>
  <w:listSeparator w:val=","/>
  <w14:docId w14:val="6778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1"/>
    <w:qFormat/>
    <w:pPr>
      <w:autoSpaceDE w:val="0"/>
      <w:autoSpaceDN w:val="0"/>
      <w:adjustRightInd w:val="0"/>
      <w:ind w:left="239"/>
      <w:jc w:val="left"/>
      <w:outlineLvl w:val="0"/>
    </w:pPr>
    <w:rPr>
      <w:rFonts w:ascii="HG丸ｺﾞｼｯｸM-PRO" w:eastAsia="HG丸ｺﾞｼｯｸM-PRO" w:hAnsi="Times New Roman" w:cs="HG丸ｺﾞｼｯｸM-PRO"/>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1"/>
    <w:qFormat/>
    <w:pPr>
      <w:ind w:leftChars="400" w:left="840"/>
    </w:p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footnote text"/>
    <w:basedOn w:val="a"/>
    <w:link w:val="ab"/>
    <w:uiPriority w:val="99"/>
    <w:semiHidden/>
    <w:unhideWhenUsed/>
    <w:pPr>
      <w:snapToGrid w:val="0"/>
      <w:jc w:val="left"/>
    </w:pPr>
  </w:style>
  <w:style w:type="character" w:customStyle="1" w:styleId="ab">
    <w:name w:val="脚注文字列 (文字)"/>
    <w:basedOn w:val="a0"/>
    <w:link w:val="aa"/>
    <w:uiPriority w:val="99"/>
    <w:semiHidden/>
  </w:style>
  <w:style w:type="character" w:styleId="ac">
    <w:name w:val="footnote reference"/>
    <w:basedOn w:val="a0"/>
    <w:uiPriority w:val="99"/>
    <w:semiHidden/>
    <w:unhideWhenUsed/>
    <w:rPr>
      <w:vertAlign w:val="superscript"/>
    </w:rPr>
  </w:style>
  <w:style w:type="character" w:styleId="ad">
    <w:name w:val="Hyperlink"/>
    <w:basedOn w:val="a0"/>
    <w:uiPriority w:val="99"/>
    <w:unhideWhenUsed/>
    <w:rPr>
      <w:color w:val="0000FF" w:themeColor="hyperlink"/>
      <w:u w:val="single"/>
    </w:rPr>
  </w:style>
  <w:style w:type="character" w:styleId="ae">
    <w:name w:val="annotation reference"/>
    <w:basedOn w:val="a0"/>
    <w:uiPriority w:val="99"/>
    <w:semiHidden/>
    <w:unhideWhenUsed/>
    <w:rPr>
      <w:sz w:val="18"/>
      <w:szCs w:val="18"/>
    </w:rPr>
  </w:style>
  <w:style w:type="paragraph" w:styleId="af">
    <w:name w:val="annotation text"/>
    <w:basedOn w:val="a"/>
    <w:link w:val="af0"/>
    <w:uiPriority w:val="99"/>
    <w:unhideWhenUsed/>
    <w:pPr>
      <w:jc w:val="left"/>
    </w:pPr>
  </w:style>
  <w:style w:type="character" w:customStyle="1" w:styleId="af0">
    <w:name w:val="コメント文字列 (文字)"/>
    <w:basedOn w:val="a0"/>
    <w:link w:val="af"/>
    <w:uiPriority w:val="99"/>
  </w:style>
  <w:style w:type="paragraph" w:styleId="af1">
    <w:name w:val="annotation subject"/>
    <w:basedOn w:val="af"/>
    <w:next w:val="af"/>
    <w:link w:val="af2"/>
    <w:uiPriority w:val="99"/>
    <w:semiHidden/>
    <w:unhideWhenUsed/>
    <w:rPr>
      <w:b/>
      <w:bCs/>
    </w:rPr>
  </w:style>
  <w:style w:type="character" w:customStyle="1" w:styleId="af2">
    <w:name w:val="コメント内容 (文字)"/>
    <w:basedOn w:val="af0"/>
    <w:link w:val="af1"/>
    <w:uiPriority w:val="99"/>
    <w:semiHidden/>
    <w:rPr>
      <w:b/>
      <w:bCs/>
    </w:rPr>
  </w:style>
  <w:style w:type="paragraph" w:styleId="af3">
    <w:name w:val="Revision"/>
    <w:hidden/>
    <w:uiPriority w:val="99"/>
    <w:semiHidden/>
  </w:style>
  <w:style w:type="paragraph" w:styleId="af4">
    <w:name w:val="Note Heading"/>
    <w:basedOn w:val="a"/>
    <w:next w:val="a"/>
    <w:link w:val="af5"/>
    <w:uiPriority w:val="99"/>
    <w:unhideWhenUsed/>
    <w:pPr>
      <w:jc w:val="center"/>
    </w:pPr>
    <w:rPr>
      <w:rFonts w:asciiTheme="majorEastAsia" w:eastAsiaTheme="majorEastAsia" w:hAnsiTheme="majorEastAsia"/>
      <w:spacing w:val="-14"/>
      <w:sz w:val="26"/>
      <w:szCs w:val="26"/>
    </w:rPr>
  </w:style>
  <w:style w:type="character" w:customStyle="1" w:styleId="af5">
    <w:name w:val="記 (文字)"/>
    <w:basedOn w:val="a0"/>
    <w:link w:val="af4"/>
    <w:uiPriority w:val="99"/>
    <w:rPr>
      <w:rFonts w:asciiTheme="majorEastAsia" w:eastAsiaTheme="majorEastAsia" w:hAnsiTheme="majorEastAsia"/>
      <w:spacing w:val="-14"/>
      <w:sz w:val="26"/>
      <w:szCs w:val="26"/>
    </w:rPr>
  </w:style>
  <w:style w:type="paragraph" w:styleId="af6">
    <w:name w:val="Closing"/>
    <w:basedOn w:val="a"/>
    <w:link w:val="af7"/>
    <w:uiPriority w:val="99"/>
    <w:unhideWhenUsed/>
    <w:pPr>
      <w:jc w:val="right"/>
    </w:pPr>
    <w:rPr>
      <w:rFonts w:asciiTheme="majorEastAsia" w:eastAsiaTheme="majorEastAsia" w:hAnsiTheme="majorEastAsia"/>
      <w:spacing w:val="-14"/>
      <w:sz w:val="26"/>
      <w:szCs w:val="26"/>
    </w:rPr>
  </w:style>
  <w:style w:type="character" w:customStyle="1" w:styleId="af7">
    <w:name w:val="結語 (文字)"/>
    <w:basedOn w:val="a0"/>
    <w:link w:val="af6"/>
    <w:uiPriority w:val="99"/>
    <w:rPr>
      <w:rFonts w:asciiTheme="majorEastAsia" w:eastAsiaTheme="majorEastAsia" w:hAnsiTheme="majorEastAsia"/>
      <w:spacing w:val="-14"/>
      <w:sz w:val="26"/>
      <w:szCs w:val="26"/>
    </w:rPr>
  </w:style>
  <w:style w:type="paragraph" w:styleId="af8">
    <w:name w:val="Date"/>
    <w:basedOn w:val="a"/>
    <w:next w:val="a"/>
    <w:link w:val="af9"/>
    <w:uiPriority w:val="99"/>
    <w:semiHidden/>
    <w:unhideWhenUsed/>
  </w:style>
  <w:style w:type="character" w:customStyle="1" w:styleId="af9">
    <w:name w:val="日付 (文字)"/>
    <w:basedOn w:val="a0"/>
    <w:link w:val="af8"/>
    <w:uiPriority w:val="99"/>
    <w:semiHidden/>
  </w:style>
  <w:style w:type="character" w:customStyle="1" w:styleId="10">
    <w:name w:val="見出し 1 (文字)"/>
    <w:basedOn w:val="a0"/>
    <w:link w:val="1"/>
    <w:uiPriority w:val="1"/>
    <w:rPr>
      <w:rFonts w:ascii="HG丸ｺﾞｼｯｸM-PRO" w:eastAsia="HG丸ｺﾞｼｯｸM-PRO" w:hAnsi="Times New Roman" w:cs="HG丸ｺﾞｼｯｸM-PRO"/>
      <w:b/>
      <w:bCs/>
      <w:kern w:val="0"/>
      <w:szCs w:val="21"/>
    </w:rPr>
  </w:style>
  <w:style w:type="character" w:customStyle="1" w:styleId="afa">
    <w:name w:val="本文 (文字)"/>
    <w:basedOn w:val="a0"/>
    <w:link w:val="afb"/>
    <w:uiPriority w:val="1"/>
    <w:rPr>
      <w:rFonts w:ascii="HG丸ｺﾞｼｯｸM-PRO" w:eastAsia="HG丸ｺﾞｼｯｸM-PRO" w:hAnsi="Times New Roman" w:cs="HG丸ｺﾞｼｯｸM-PRO"/>
      <w:kern w:val="0"/>
      <w:szCs w:val="21"/>
    </w:rPr>
  </w:style>
  <w:style w:type="paragraph" w:styleId="afb">
    <w:name w:val="Body Text"/>
    <w:basedOn w:val="a"/>
    <w:link w:val="afa"/>
    <w:uiPriority w:val="1"/>
    <w:qFormat/>
    <w:pPr>
      <w:autoSpaceDE w:val="0"/>
      <w:autoSpaceDN w:val="0"/>
      <w:adjustRightInd w:val="0"/>
      <w:spacing w:before="11"/>
      <w:ind w:left="524"/>
      <w:jc w:val="left"/>
    </w:pPr>
    <w:rPr>
      <w:rFonts w:ascii="HG丸ｺﾞｼｯｸM-PRO" w:eastAsia="HG丸ｺﾞｼｯｸM-PRO" w:hAnsi="Times New Roman" w:cs="HG丸ｺﾞｼｯｸM-PRO"/>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996019">
      <w:bodyDiv w:val="1"/>
      <w:marLeft w:val="0"/>
      <w:marRight w:val="0"/>
      <w:marTop w:val="0"/>
      <w:marBottom w:val="0"/>
      <w:divBdr>
        <w:top w:val="none" w:sz="0" w:space="0" w:color="auto"/>
        <w:left w:val="none" w:sz="0" w:space="0" w:color="auto"/>
        <w:bottom w:val="none" w:sz="0" w:space="0" w:color="auto"/>
        <w:right w:val="none" w:sz="0" w:space="0" w:color="auto"/>
      </w:divBdr>
    </w:div>
    <w:div w:id="1542479209">
      <w:bodyDiv w:val="1"/>
      <w:marLeft w:val="0"/>
      <w:marRight w:val="0"/>
      <w:marTop w:val="0"/>
      <w:marBottom w:val="0"/>
      <w:divBdr>
        <w:top w:val="none" w:sz="0" w:space="0" w:color="auto"/>
        <w:left w:val="none" w:sz="0" w:space="0" w:color="auto"/>
        <w:bottom w:val="none" w:sz="0" w:space="0" w:color="auto"/>
        <w:right w:val="none" w:sz="0" w:space="0" w:color="auto"/>
      </w:divBdr>
      <w:divsChild>
        <w:div w:id="624117993">
          <w:marLeft w:val="240"/>
          <w:marRight w:val="0"/>
          <w:marTop w:val="0"/>
          <w:marBottom w:val="0"/>
          <w:divBdr>
            <w:top w:val="none" w:sz="0" w:space="0" w:color="auto"/>
            <w:left w:val="none" w:sz="0" w:space="0" w:color="auto"/>
            <w:bottom w:val="none" w:sz="0" w:space="0" w:color="auto"/>
            <w:right w:val="none" w:sz="0" w:space="0" w:color="auto"/>
          </w:divBdr>
        </w:div>
        <w:div w:id="847602964">
          <w:marLeft w:val="240"/>
          <w:marRight w:val="0"/>
          <w:marTop w:val="0"/>
          <w:marBottom w:val="0"/>
          <w:divBdr>
            <w:top w:val="none" w:sz="0" w:space="0" w:color="auto"/>
            <w:left w:val="none" w:sz="0" w:space="0" w:color="auto"/>
            <w:bottom w:val="none" w:sz="0" w:space="0" w:color="auto"/>
            <w:right w:val="none" w:sz="0" w:space="0" w:color="auto"/>
          </w:divBdr>
        </w:div>
        <w:div w:id="946620495">
          <w:marLeft w:val="240"/>
          <w:marRight w:val="0"/>
          <w:marTop w:val="0"/>
          <w:marBottom w:val="0"/>
          <w:divBdr>
            <w:top w:val="none" w:sz="0" w:space="0" w:color="auto"/>
            <w:left w:val="none" w:sz="0" w:space="0" w:color="auto"/>
            <w:bottom w:val="none" w:sz="0" w:space="0" w:color="auto"/>
            <w:right w:val="none" w:sz="0" w:space="0" w:color="auto"/>
          </w:divBdr>
        </w:div>
        <w:div w:id="1277760239">
          <w:marLeft w:val="240"/>
          <w:marRight w:val="0"/>
          <w:marTop w:val="0"/>
          <w:marBottom w:val="0"/>
          <w:divBdr>
            <w:top w:val="none" w:sz="0" w:space="0" w:color="auto"/>
            <w:left w:val="none" w:sz="0" w:space="0" w:color="auto"/>
            <w:bottom w:val="none" w:sz="0" w:space="0" w:color="auto"/>
            <w:right w:val="none" w:sz="0" w:space="0" w:color="auto"/>
          </w:divBdr>
        </w:div>
      </w:divsChild>
    </w:div>
    <w:div w:id="1573201690">
      <w:bodyDiv w:val="1"/>
      <w:marLeft w:val="0"/>
      <w:marRight w:val="0"/>
      <w:marTop w:val="0"/>
      <w:marBottom w:val="0"/>
      <w:divBdr>
        <w:top w:val="none" w:sz="0" w:space="0" w:color="auto"/>
        <w:left w:val="none" w:sz="0" w:space="0" w:color="auto"/>
        <w:bottom w:val="none" w:sz="0" w:space="0" w:color="auto"/>
        <w:right w:val="none" w:sz="0" w:space="0" w:color="auto"/>
      </w:divBdr>
    </w:div>
    <w:div w:id="1838761322">
      <w:bodyDiv w:val="1"/>
      <w:marLeft w:val="0"/>
      <w:marRight w:val="0"/>
      <w:marTop w:val="0"/>
      <w:marBottom w:val="0"/>
      <w:divBdr>
        <w:top w:val="none" w:sz="0" w:space="0" w:color="auto"/>
        <w:left w:val="none" w:sz="0" w:space="0" w:color="auto"/>
        <w:bottom w:val="none" w:sz="0" w:space="0" w:color="auto"/>
        <w:right w:val="none" w:sz="0" w:space="0" w:color="auto"/>
      </w:divBdr>
    </w:div>
    <w:div w:id="1965194027">
      <w:bodyDiv w:val="1"/>
      <w:marLeft w:val="0"/>
      <w:marRight w:val="0"/>
      <w:marTop w:val="0"/>
      <w:marBottom w:val="0"/>
      <w:divBdr>
        <w:top w:val="none" w:sz="0" w:space="0" w:color="auto"/>
        <w:left w:val="none" w:sz="0" w:space="0" w:color="auto"/>
        <w:bottom w:val="none" w:sz="0" w:space="0" w:color="auto"/>
        <w:right w:val="none" w:sz="0" w:space="0" w:color="auto"/>
      </w:divBdr>
    </w:div>
    <w:div w:id="2100903594">
      <w:bodyDiv w:val="1"/>
      <w:marLeft w:val="0"/>
      <w:marRight w:val="0"/>
      <w:marTop w:val="0"/>
      <w:marBottom w:val="0"/>
      <w:divBdr>
        <w:top w:val="none" w:sz="0" w:space="0" w:color="auto"/>
        <w:left w:val="none" w:sz="0" w:space="0" w:color="auto"/>
        <w:bottom w:val="none" w:sz="0" w:space="0" w:color="auto"/>
        <w:right w:val="none" w:sz="0" w:space="0" w:color="auto"/>
      </w:divBdr>
      <w:divsChild>
        <w:div w:id="578439997">
          <w:marLeft w:val="648"/>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BB2A4-73C9-43B9-B090-F123F4831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651</Words>
  <Characters>3713</Characters>
  <Application>Microsoft Office Word</Application>
  <DocSecurity>0</DocSecurity>
  <Lines>30</Lines>
  <Paragraphs>8</Paragraphs>
  <ScaleCrop>false</ScaleCrop>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2023-02-05T23:35:00Z</dcterms:created>
  <dcterms:modified xsi:type="dcterms:W3CDTF">2024-01-23T00:52:00Z</dcterms:modified>
</cp:coreProperties>
</file>