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0886953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4F57B0">
        <w:rPr>
          <w:rFonts w:ascii="ＭＳ 明朝" w:hint="eastAsia"/>
          <w:color w:val="auto"/>
        </w:rPr>
        <w:t>戦略的スマート農業技術の開発・改良</w:t>
      </w:r>
      <w:r w:rsidRPr="00FD03ED">
        <w:rPr>
          <w:rFonts w:ascii="ＭＳ 明朝" w:hint="eastAsia"/>
          <w:color w:val="auto"/>
        </w:rPr>
        <w:t>（以下「本研究事業」という。）に関する業務を行う。</w:t>
      </w:r>
    </w:p>
    <w:p w14:paraId="5DC0682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2E185074"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75D33F50"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53982A8A" w14:textId="77777777" w:rsidR="00A831E8" w:rsidRPr="004B729F" w:rsidRDefault="00A831E8" w:rsidP="00A831E8">
      <w:pPr>
        <w:adjustRightInd/>
        <w:rPr>
          <w:rFonts w:ascii="ＭＳ 明朝" w:cs="Times New Roman"/>
          <w:color w:val="auto"/>
          <w:spacing w:val="2"/>
        </w:rPr>
      </w:pP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4430E3B6" w:rsidR="00682C6E" w:rsidRPr="009332B4" w:rsidRDefault="004F57B0" w:rsidP="009332B4">
            <w:pPr>
              <w:rPr>
                <w:rFonts w:ascii="ＭＳ 明朝"/>
                <w:color w:val="FF0000"/>
                <w:spacing w:val="-10"/>
              </w:rPr>
            </w:pPr>
            <w:r w:rsidRPr="004F57B0">
              <w:rPr>
                <w:rFonts w:ascii="ＭＳ 明朝" w:hint="eastAsia"/>
                <w:color w:val="auto"/>
                <w:spacing w:val="-10"/>
              </w:rPr>
              <w:t>戦略的スマート農業技術の開発・改良</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229C9C81"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F57B0">
        <w:rPr>
          <w:rFonts w:ascii="ＭＳ 明朝" w:hint="eastAsia"/>
          <w:color w:val="auto"/>
        </w:rPr>
        <w:t>戦略的スマート農業技術の開発・改良</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9680932">
    <w:abstractNumId w:val="4"/>
  </w:num>
  <w:num w:numId="2" w16cid:durableId="1139804993">
    <w:abstractNumId w:val="2"/>
  </w:num>
  <w:num w:numId="3" w16cid:durableId="897668039">
    <w:abstractNumId w:val="0"/>
  </w:num>
  <w:num w:numId="4" w16cid:durableId="20326531">
    <w:abstractNumId w:val="3"/>
  </w:num>
  <w:num w:numId="5" w16cid:durableId="1517814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86A94"/>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2024-01-17T03:16:00Z</dcterms:created>
  <dcterms:modified xsi:type="dcterms:W3CDTF">2024-01-17T03:16:00Z</dcterms:modified>
</cp:coreProperties>
</file>