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6A2F585C" w:rsidR="00AD2221" w:rsidRPr="00643DCB" w:rsidRDefault="00910708" w:rsidP="00643DCB">
      <w:pPr>
        <w:pStyle w:val="a7"/>
        <w:spacing w:after="120" w:line="240" w:lineRule="exact"/>
        <w:jc w:val="right"/>
        <w:rPr>
          <w:rFonts w:ascii="ＭＳ ゴシック" w:eastAsia="ＭＳ ゴシック" w:hAnsi="ＭＳ ゴシック"/>
          <w:sz w:val="24"/>
          <w:szCs w:val="24"/>
        </w:rPr>
      </w:pPr>
      <w:r w:rsidRPr="00643DCB">
        <w:rPr>
          <w:rFonts w:ascii="ＭＳ ゴシック" w:eastAsia="ＭＳ ゴシック" w:hAnsi="ＭＳ ゴシック" w:hint="eastAsia"/>
          <w:sz w:val="24"/>
          <w:szCs w:val="24"/>
        </w:rPr>
        <w:t>別紙</w:t>
      </w:r>
      <w:r w:rsidR="008549BD">
        <w:rPr>
          <w:rFonts w:ascii="ＭＳ ゴシック" w:eastAsia="ＭＳ ゴシック" w:hAnsi="ＭＳ ゴシック" w:hint="eastAsia"/>
          <w:sz w:val="24"/>
          <w:szCs w:val="24"/>
        </w:rPr>
        <w:t>７</w:t>
      </w:r>
    </w:p>
    <w:p w14:paraId="072D43E8" w14:textId="77777777" w:rsidR="00AD2221" w:rsidRDefault="00AD2221" w:rsidP="008931F0">
      <w:pPr>
        <w:pStyle w:val="a7"/>
        <w:spacing w:after="120"/>
        <w:jc w:val="both"/>
        <w:rPr>
          <w:rFonts w:ascii="ＭＳ ゴシック" w:eastAsia="ＭＳ ゴシック" w:hAnsi="ＭＳ ゴシック"/>
          <w:b/>
          <w:bCs/>
          <w:sz w:val="24"/>
          <w:szCs w:val="24"/>
        </w:rPr>
      </w:pPr>
    </w:p>
    <w:p w14:paraId="6E92D75F" w14:textId="77777777" w:rsidR="00AD2221" w:rsidRPr="00AD2221" w:rsidRDefault="00AD2221" w:rsidP="008931F0">
      <w:pPr>
        <w:pStyle w:val="a7"/>
        <w:spacing w:after="12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125D4B47" w14:textId="4912E3B4" w:rsidR="00AD2221" w:rsidRDefault="00AD2221" w:rsidP="008931F0">
      <w:pPr>
        <w:jc w:val="center"/>
        <w:rPr>
          <w:rFonts w:ascii="ＭＳ ゴシック" w:eastAsia="ＭＳ ゴシック" w:hAnsi="ＭＳ ゴシック"/>
        </w:rPr>
      </w:pPr>
      <w:r>
        <w:rPr>
          <w:rFonts w:ascii="ＭＳ ゴシック" w:eastAsia="ＭＳ ゴシック" w:hAnsi="ＭＳ ゴシック" w:hint="eastAsia"/>
        </w:rPr>
        <w:t>（</w:t>
      </w:r>
      <w:r w:rsidR="00F961CE">
        <w:rPr>
          <w:rFonts w:ascii="ＭＳ ゴシック" w:eastAsia="ＭＳ ゴシック" w:hAnsi="ＭＳ ゴシック" w:hint="eastAsia"/>
        </w:rPr>
        <w:t>スタートアップ総合支援プログラム</w:t>
      </w:r>
      <w:r w:rsidR="00175CDF">
        <w:rPr>
          <w:rFonts w:ascii="ＭＳ ゴシック" w:eastAsia="ＭＳ ゴシック" w:hAnsi="ＭＳ ゴシック" w:hint="eastAsia"/>
        </w:rPr>
        <w:t>（SBIR支援）</w:t>
      </w:r>
      <w:r>
        <w:rPr>
          <w:rFonts w:ascii="ＭＳ ゴシック" w:eastAsia="ＭＳ ゴシック" w:hAnsi="ＭＳ ゴシック" w:hint="eastAsia"/>
        </w:rPr>
        <w:t>）</w:t>
      </w:r>
    </w:p>
    <w:p w14:paraId="201DAEB3"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　</w:t>
      </w:r>
    </w:p>
    <w:p w14:paraId="2DC3BC94" w14:textId="77777777" w:rsidR="00AD2221" w:rsidRPr="00AD2221" w:rsidRDefault="00AD2221" w:rsidP="00AD2221">
      <w:pPr>
        <w:rPr>
          <w:rFonts w:ascii="ＭＳ ゴシック" w:eastAsia="ＭＳ ゴシック" w:hAnsi="ＭＳ ゴシック"/>
        </w:rPr>
      </w:pPr>
    </w:p>
    <w:p w14:paraId="49265268" w14:textId="7054F24C" w:rsid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w:t>
      </w:r>
      <w:r w:rsidR="003D2442" w:rsidRPr="003D2442">
        <w:rPr>
          <w:rFonts w:ascii="ＭＳ ゴシック" w:eastAsia="ＭＳ ゴシック" w:hAnsi="ＭＳ ゴシック" w:hint="eastAsia"/>
        </w:rPr>
        <w:t>農業分野の</w:t>
      </w:r>
      <w:r w:rsidR="00F961CE" w:rsidRPr="00F961CE">
        <w:rPr>
          <w:rFonts w:ascii="ＭＳ ゴシック" w:eastAsia="ＭＳ ゴシック" w:hAnsi="ＭＳ ゴシック" w:hint="eastAsia"/>
        </w:rPr>
        <w:t>データ利活用促進とノウハウ保護</w:t>
      </w:r>
      <w:r w:rsidR="003D2442" w:rsidRPr="003D2442">
        <w:rPr>
          <w:rFonts w:ascii="ＭＳ ゴシック" w:eastAsia="ＭＳ ゴシック" w:hAnsi="ＭＳ ゴシック" w:hint="eastAsia"/>
        </w:rPr>
        <w:t>のために</w:t>
      </w:r>
      <w:r w:rsidRPr="00AD2221">
        <w:rPr>
          <w:rFonts w:ascii="ＭＳ ゴシック" w:eastAsia="ＭＳ ゴシック" w:hAnsi="ＭＳ ゴシック" w:hint="eastAsia"/>
        </w:rPr>
        <w:t>～」（令和２年３月　農林水産省。以下「ガイドライン」という。）に準拠し、下記チェックリストのとおり、当該農業者等と合意を行いました。</w:t>
      </w:r>
    </w:p>
    <w:p w14:paraId="05E043ED" w14:textId="77777777" w:rsidR="008931F0" w:rsidRPr="00AD2221" w:rsidRDefault="008931F0" w:rsidP="00AD2221">
      <w:pPr>
        <w:rPr>
          <w:rFonts w:ascii="ＭＳ ゴシック" w:eastAsia="ＭＳ ゴシック" w:hAnsi="ＭＳ ゴシック"/>
        </w:rPr>
      </w:pP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51F21B9C">
                <wp:simplePos x="0" y="0"/>
                <wp:positionH relativeFrom="margin">
                  <wp:posOffset>102870</wp:posOffset>
                </wp:positionH>
                <wp:positionV relativeFrom="paragraph">
                  <wp:posOffset>82550</wp:posOffset>
                </wp:positionV>
                <wp:extent cx="5913120" cy="790575"/>
                <wp:effectExtent l="0" t="0" r="11430" b="28575"/>
                <wp:wrapNone/>
                <wp:docPr id="3" name="正方形/長方形 3"/>
                <wp:cNvGraphicFramePr/>
                <a:graphic xmlns:a="http://schemas.openxmlformats.org/drawingml/2006/main">
                  <a:graphicData uri="http://schemas.microsoft.com/office/word/2010/wordprocessingShape">
                    <wps:wsp>
                      <wps:cNvSpPr/>
                      <wps:spPr>
                        <a:xfrm>
                          <a:off x="0" y="0"/>
                          <a:ext cx="5913120" cy="790575"/>
                        </a:xfrm>
                        <a:prstGeom prst="rect">
                          <a:avLst/>
                        </a:prstGeom>
                        <a:noFill/>
                        <a:ln w="12700" cap="flat" cmpd="sng" algn="ctr">
                          <a:solidFill>
                            <a:sysClr val="windowText" lastClr="000000"/>
                          </a:solidFill>
                          <a:prstDash val="solid"/>
                          <a:miter lim="800000"/>
                        </a:ln>
                        <a:effectLst/>
                      </wps:spPr>
                      <wps:txbx>
                        <w:txbxContent>
                          <w:p w14:paraId="79A337FF" w14:textId="3C56C9AC"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r w:rsidR="00175CDF">
                              <w:rPr>
                                <w:rFonts w:ascii="Arial" w:eastAsia="ＭＳ ゴシック" w:hAnsi="Arial" w:hint="eastAsia"/>
                                <w:color w:val="000000" w:themeColor="text1"/>
                                <w:szCs w:val="20"/>
                              </w:rPr>
                              <w:t>。</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8.1pt;margin-top:6.5pt;width:465.6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" filled="f" strokecolor="windowText" strokeweight="1pt">
                <v:textbox>
                  <w:txbxContent>
                    <w:p w14:paraId="79A337FF" w14:textId="3C56C9AC"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r w:rsidR="00175CDF">
                        <w:rPr>
                          <w:rFonts w:ascii="Arial" w:eastAsia="ＭＳ ゴシック" w:hAnsi="Arial" w:hint="eastAsia"/>
                          <w:color w:val="000000" w:themeColor="text1"/>
                          <w:szCs w:val="20"/>
                        </w:rPr>
                        <w:t>。</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09F18213"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w:t>
      </w:r>
      <w:r w:rsidR="001E05B0">
        <w:rPr>
          <w:rFonts w:ascii="ＭＳ ゴシック" w:eastAsia="ＭＳ ゴシック" w:hAnsi="ＭＳ ゴシック" w:hint="eastAsia"/>
        </w:rPr>
        <w:t>代表者名</w:t>
      </w:r>
      <w:r w:rsidRPr="00AD2221">
        <w:rPr>
          <w:rFonts w:ascii="ＭＳ ゴシック" w:eastAsia="ＭＳ ゴシック" w:hAnsi="ＭＳ ゴシック" w:hint="eastAsia"/>
        </w:rPr>
        <w:t>：</w:t>
      </w:r>
    </w:p>
    <w:p w14:paraId="4AB85ED6" w14:textId="77777777" w:rsidR="00AD2221" w:rsidRDefault="00AD2221" w:rsidP="00AD2221">
      <w:pPr>
        <w:spacing w:line="340" w:lineRule="exact"/>
        <w:ind w:firstLineChars="100" w:firstLine="240"/>
      </w:pPr>
    </w:p>
    <w:p w14:paraId="79B39499" w14:textId="59BB6F6D" w:rsidR="00AD2221" w:rsidRDefault="00E47587" w:rsidP="00E47587">
      <w:pPr>
        <w:spacing w:line="340" w:lineRule="exact"/>
      </w:pPr>
      <w:r>
        <w:rPr>
          <w:rFonts w:hint="eastAsia"/>
        </w:rPr>
        <w:t xml:space="preserve">　</w:t>
      </w:r>
    </w:p>
    <w:p w14:paraId="6F0B5D27" w14:textId="77777777" w:rsidR="00E47587" w:rsidRDefault="00E47587">
      <w:pPr>
        <w:widowControl/>
        <w:jc w:val="left"/>
        <w:rPr>
          <w:rFonts w:ascii="ＭＳ ゴシック" w:eastAsia="ＭＳ ゴシック" w:hAnsi="ＭＳ ゴシック"/>
        </w:rPr>
      </w:pPr>
      <w:r>
        <w:rPr>
          <w:rFonts w:ascii="ＭＳ ゴシック" w:eastAsia="ＭＳ ゴシック" w:hAnsi="ＭＳ ゴシック"/>
        </w:rPr>
        <w:br w:type="page"/>
      </w:r>
    </w:p>
    <w:p w14:paraId="79589B01" w14:textId="4964ADBE"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w:t>
      </w:r>
      <w:r w:rsidR="00090362">
        <w:rPr>
          <w:rFonts w:ascii="ＭＳ ゴシック" w:eastAsia="ＭＳ ゴシック" w:hAnsi="ＭＳ ゴシック" w:hint="eastAsia"/>
        </w:rPr>
        <w:t>例</w:t>
      </w:r>
      <w:r w:rsidRPr="00AD2221">
        <w:rPr>
          <w:rFonts w:ascii="ＭＳ ゴシック" w:eastAsia="ＭＳ ゴシック" w:hAnsi="ＭＳ ゴシック" w:hint="eastAsia"/>
        </w:rPr>
        <w:t>）</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48D75BAE"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090362">
                              <w:rPr>
                                <w:rFonts w:ascii="ＭＳ ゴシック" w:eastAsia="ＭＳ ゴシック" w:hAnsi="ＭＳ ゴシック" w:hint="eastAsia"/>
                                <w:color w:val="000000" w:themeColor="text1"/>
                                <w:szCs w:val="20"/>
                              </w:rPr>
                              <w:t>スタートアップ総合支援プログラム（SBI</w:t>
                            </w:r>
                            <w:r w:rsidR="00090362">
                              <w:rPr>
                                <w:rFonts w:ascii="ＭＳ ゴシック" w:eastAsia="ＭＳ ゴシック" w:hAnsi="ＭＳ ゴシック"/>
                                <w:color w:val="000000" w:themeColor="text1"/>
                                <w:szCs w:val="20"/>
                              </w:rPr>
                              <w:t>R</w:t>
                            </w:r>
                            <w:r w:rsidR="00090362">
                              <w:rPr>
                                <w:rFonts w:ascii="ＭＳ ゴシック" w:eastAsia="ＭＳ ゴシック" w:hAnsi="ＭＳ ゴシック" w:hint="eastAsia"/>
                                <w:color w:val="000000" w:themeColor="text1"/>
                                <w:szCs w:val="20"/>
                              </w:rPr>
                              <w:t>支援）</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48D75BAE"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090362">
                        <w:rPr>
                          <w:rFonts w:ascii="ＭＳ ゴシック" w:eastAsia="ＭＳ ゴシック" w:hAnsi="ＭＳ ゴシック" w:hint="eastAsia"/>
                          <w:color w:val="000000" w:themeColor="text1"/>
                          <w:szCs w:val="20"/>
                        </w:rPr>
                        <w:t>スタートアップ総合支援プログラム（SBI</w:t>
                      </w:r>
                      <w:r w:rsidR="00090362">
                        <w:rPr>
                          <w:rFonts w:ascii="ＭＳ ゴシック" w:eastAsia="ＭＳ ゴシック" w:hAnsi="ＭＳ ゴシック"/>
                          <w:color w:val="000000" w:themeColor="text1"/>
                          <w:szCs w:val="20"/>
                        </w:rPr>
                        <w:t>R</w:t>
                      </w:r>
                      <w:r w:rsidR="00090362">
                        <w:rPr>
                          <w:rFonts w:ascii="ＭＳ ゴシック" w:eastAsia="ＭＳ ゴシック" w:hAnsi="ＭＳ ゴシック" w:hint="eastAsia"/>
                          <w:color w:val="000000" w:themeColor="text1"/>
                          <w:szCs w:val="20"/>
                        </w:rPr>
                        <w:t>支援）</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565D" w14:textId="77777777" w:rsidR="00AD2221" w:rsidRDefault="00AD2221" w:rsidP="00B778DB">
      <w:r>
        <w:separator/>
      </w:r>
    </w:p>
  </w:endnote>
  <w:endnote w:type="continuationSeparator" w:id="0">
    <w:p w14:paraId="40C57E3A" w14:textId="77777777" w:rsidR="00AD2221" w:rsidRDefault="00AD222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BCE9" w14:textId="77777777" w:rsidR="00AD2221" w:rsidRDefault="00AD2221" w:rsidP="00B778DB">
      <w:r>
        <w:separator/>
      </w:r>
    </w:p>
  </w:footnote>
  <w:footnote w:type="continuationSeparator" w:id="0">
    <w:p w14:paraId="5F558EF6" w14:textId="77777777" w:rsidR="00AD2221" w:rsidRDefault="00AD222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1647B"/>
    <w:rsid w:val="00090362"/>
    <w:rsid w:val="00175CDF"/>
    <w:rsid w:val="001E05B0"/>
    <w:rsid w:val="001F3026"/>
    <w:rsid w:val="003806DE"/>
    <w:rsid w:val="00387C9A"/>
    <w:rsid w:val="003D2442"/>
    <w:rsid w:val="004E7C04"/>
    <w:rsid w:val="00617EF6"/>
    <w:rsid w:val="00643DCB"/>
    <w:rsid w:val="0071750B"/>
    <w:rsid w:val="007E4839"/>
    <w:rsid w:val="008549BD"/>
    <w:rsid w:val="008931F0"/>
    <w:rsid w:val="00910708"/>
    <w:rsid w:val="00917F33"/>
    <w:rsid w:val="00AA6D12"/>
    <w:rsid w:val="00AD2221"/>
    <w:rsid w:val="00B44F20"/>
    <w:rsid w:val="00B778DB"/>
    <w:rsid w:val="00E042F5"/>
    <w:rsid w:val="00E47587"/>
    <w:rsid w:val="00F96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8">
    <w:name w:val="annotation reference"/>
    <w:basedOn w:val="a0"/>
    <w:uiPriority w:val="99"/>
    <w:semiHidden/>
    <w:unhideWhenUsed/>
    <w:rsid w:val="0071750B"/>
    <w:rPr>
      <w:sz w:val="18"/>
      <w:szCs w:val="18"/>
    </w:rPr>
  </w:style>
  <w:style w:type="paragraph" w:styleId="a9">
    <w:name w:val="annotation text"/>
    <w:basedOn w:val="a"/>
    <w:link w:val="aa"/>
    <w:uiPriority w:val="99"/>
    <w:semiHidden/>
    <w:unhideWhenUsed/>
    <w:rsid w:val="0071750B"/>
    <w:pPr>
      <w:jc w:val="left"/>
    </w:pPr>
  </w:style>
  <w:style w:type="character" w:customStyle="1" w:styleId="aa">
    <w:name w:val="コメント文字列 (文字)"/>
    <w:basedOn w:val="a0"/>
    <w:link w:val="a9"/>
    <w:uiPriority w:val="99"/>
    <w:semiHidden/>
    <w:rsid w:val="0071750B"/>
    <w:rPr>
      <w:sz w:val="24"/>
    </w:rPr>
  </w:style>
  <w:style w:type="paragraph" w:styleId="ab">
    <w:name w:val="annotation subject"/>
    <w:basedOn w:val="a9"/>
    <w:next w:val="a9"/>
    <w:link w:val="ac"/>
    <w:uiPriority w:val="99"/>
    <w:semiHidden/>
    <w:unhideWhenUsed/>
    <w:rsid w:val="0071750B"/>
    <w:rPr>
      <w:b/>
      <w:bCs/>
    </w:rPr>
  </w:style>
  <w:style w:type="character" w:customStyle="1" w:styleId="ac">
    <w:name w:val="コメント内容 (文字)"/>
    <w:basedOn w:val="aa"/>
    <w:link w:val="ab"/>
    <w:uiPriority w:val="99"/>
    <w:semiHidden/>
    <w:rsid w:val="0071750B"/>
    <w:rPr>
      <w:b/>
      <w:bCs/>
      <w:sz w:val="24"/>
    </w:rPr>
  </w:style>
  <w:style w:type="paragraph" w:styleId="ad">
    <w:name w:val="Balloon Text"/>
    <w:basedOn w:val="a"/>
    <w:link w:val="ae"/>
    <w:uiPriority w:val="99"/>
    <w:semiHidden/>
    <w:unhideWhenUsed/>
    <w:rsid w:val="007175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75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6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2022-06-02T08:41:00Z</dcterms:created>
  <dcterms:modified xsi:type="dcterms:W3CDTF">2026-01-30T07:03:00Z</dcterms:modified>
</cp:coreProperties>
</file>